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'1.0' encoding='UTF-8'?>
<Relationships xmlns="http://schemas.openxmlformats.org/package/2006/relationships"><Relationship Type="http://schemas.openxmlformats.org/officeDocument/2006/relationships/officeDocument" Target="word/document.xml" Id="R7d0af1077b9c4066" /></Relationships>
</file>

<file path=word/document.xml><?xml version="1.0" encoding="utf-8"?>
<w:document xmlns:a="http://schemas.openxmlformats.org/drawingml/2006/main" xmlns:pic="http://schemas.openxmlformats.org/drawingml/2006/picture" xmlns:r="http://schemas.openxmlformats.org/officeDocument/2006/relationships" xmlns:w="http://schemas.openxmlformats.org/wordprocessingml/2006/main" xmlns:wp="http://schemas.openxmlformats.org/drawingml/2006/wordprocessingDrawing">
  <w:body>
    <w:p>
      <w:r>
        <w:drawing>
          <wp:anchor distT="0" distB="0" distL="0" distR="0" simplePos="0" relativeHeight="251658240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60000" cy="10692000"/>
            <wp:effectExtent l="0" t="0" r="0" b="0"/>
            <wp:wrapNone/>
            <wp:docPr id="1" name="CoverB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verBg.png"/>
                    <pic:cNvPicPr/>
                  </pic:nvPicPr>
                  <pic:blipFill>
                    <a:blip r:embed="R6b0e4003ac99401d"/>
                    <a:stretch>
                      <a:fillRect/>
                    </a:stretch>
                  </pic:blipFill>
                  <pic:spPr>
                    <a:xfrm>
                      <a:off x="0" y="0"/>
                      <a:ext cx="7560000" cy="10692000"/>
                    </a:xfrm>
                    <a:prstGeom prst="rect"/>
                  </pic:spPr>
                </pic:pic>
              </a:graphicData>
            </a:graphic>
          </wp:anchor>
        </w:drawing>
      </w:r>
    </w:p>
    <w:p>
      <w:pPr>
        <w:spacing w:before="4300"/>
      </w:pPr>
      <w:r/>
    </w:p>
    <w:p>
      <w:pPr>
        <w:spacing w:after="260"/>
        <w:ind w:left="3500" w:right="600"/>
      </w:pPr>
      <w:r>
        <w:rPr>
          <w:rFonts w:ascii="Aptos Display" w:hAnsi="Aptos Display" w:eastAsia="Microsoft YaHei"/>
          <w:b/>
          <w:color w:val="263238"/>
          <w:spacing w:val="30"/>
          <w:sz w:val="58"/>
        </w:rPr>
        <w:t>PCB轴向磁通电机</w:t>
      </w:r>
    </w:p>
    <w:p>
      <w:pPr>
        <w:spacing w:after="700"/>
        <w:ind w:left="3500" w:right="600"/>
      </w:pPr>
      <w:r>
        <w:rPr>
          <w:rFonts w:ascii="Aptos Display" w:hAnsi="Aptos Display" w:eastAsia="Microsoft YaHei"/>
          <w:b/>
          <w:color w:val="263238"/>
          <w:spacing w:val="24"/>
          <w:sz w:val="44"/>
        </w:rPr>
        <w:t>自动仿真系统</w:t>
      </w:r>
    </w:p>
    <w:p>
      <w:pPr>
        <w:spacing w:after="220"/>
        <w:ind w:left="3500" w:right="600"/>
      </w:pPr>
      <w:r>
        <w:rPr>
          <w:rFonts w:ascii="Aptos" w:hAnsi="Aptos" w:eastAsia="Microsoft YaHei"/>
          <w:b/>
          <w:color w:val="B08D57"/>
          <w:sz w:val="28"/>
        </w:rPr>
        <w:t>Motor-CAD仿真策略评审与实施建议</w:t>
      </w:r>
    </w:p>
    <w:p>
      <w:pPr>
        <w:spacing w:after="1500"/>
        <w:ind w:left="3500" w:right="600"/>
      </w:pPr>
      <w:r>
        <w:rPr>
          <w:rFonts w:ascii="Aptos" w:hAnsi="Aptos" w:eastAsia="Microsoft YaHei"/>
          <w:color w:val="455A64"/>
          <w:sz w:val="20"/>
        </w:rPr>
        <w:t>多保真度 · 可行性优先 · 批量自适应闭环</w:t>
      </w:r>
    </w:p>
    <w:p>
      <w:pPr>
        <w:spacing w:after="120"/>
        <w:ind w:left="3500"/>
      </w:pPr>
      <w:r>
        <w:rPr>
          <w:rFonts w:ascii="Aptos" w:hAnsi="Aptos" w:eastAsia="Microsoft YaHei"/>
          <w:color w:val="78909C"/>
          <w:sz w:val="18"/>
        </w:rPr>
        <w:t>版本：V1.0｜状态：评审建议稿</w:t>
      </w:r>
    </w:p>
    <w:p>
      <w:pPr>
        <w:spacing w:after="120"/>
        <w:ind w:left="3500"/>
      </w:pPr>
      <w:r>
        <w:rPr>
          <w:rFonts w:ascii="Aptos" w:hAnsi="Aptos" w:eastAsia="Microsoft YaHei"/>
          <w:color w:val="78909C"/>
          <w:sz w:val="18"/>
        </w:rPr>
        <w:t>评审对象：系统设计方案介绍 V1.1（2026-08-26）</w:t>
      </w:r>
    </w:p>
    <w:p>
      <w:pPr>
        <w:ind w:left="3500"/>
      </w:pPr>
      <w:r>
        <w:rPr>
          <w:rFonts w:ascii="Aptos" w:hAnsi="Aptos" w:eastAsia="Microsoft YaHei"/>
          <w:color w:val="78909C"/>
          <w:sz w:val="18"/>
        </w:rPr>
        <w:t>日期：2026年8月27日</w:t>
      </w:r>
    </w:p>
    <w:p>
      <w:pPr>
        <w:sectPr>
          <w:type w:val="nextPage"/>
          <w:pgSz w:w="11906" w:h="16838"/>
          <w:pgMar w:top="0" w:right="0" w:bottom="0" w:left="0" w:header="0" w:footer="0"/>
          <w:titlePg/>
        </w:sectPr>
      </w:pPr>
    </w:p>
    <w:p>
      <w:pPr>
        <w:pStyle w:val="Heading1"/>
      </w:pPr>
      <w:r>
        <w:t>文档信息</w:t>
      </w:r>
      <w:bookmarkStart w:name="_TocInfo" w:id="50448"/>
      <w:bookmarkEnd w:id="50448"/>
    </w:p>
    <w:tbl>
      <w:tblPr>
        <w:tblW w:w="5000" w:type="pct"/>
        <w:tblBorders>
          <w:top w:val="single" w:color="263238" w:sz="12"/>
          <w:left w:val="nil"/>
          <w:bottom w:val="single" w:color="263238" w:sz="12"/>
          <w:right w:val="nil"/>
          <w:insideH w:val="single" w:color="CFD8DC" w:sz="4"/>
          <w:insideV w:val="nil"/>
        </w:tblBorders>
      </w:tblPr>
      <w:tblGrid>
        <w:gridCol w:w="2200"/>
        <w:gridCol w:w="6800"/>
      </w:tblGrid>
      <w:tr>
        <w:trPr>
          <w:cantSplit/>
          <w:tblHeader/>
        </w:trPr>
        <w:tc>
          <w:tcPr>
            <w:tcW w:w="2200" w:type="dxa"/>
            <w:shd w:val="clear" w:fill="ECEFF1"/>
          </w:tcPr>
          <w:p>
            <w:pPr>
              <w:spacing w:before="80" w:after="80" w:line="300" w:lineRule="auto"/>
              <w:ind w:firstLine="0"/>
            </w:pPr>
            <w:r>
              <w:rPr>
                <w:rFonts w:ascii="Aptos" w:hAnsi="Aptos" w:eastAsia="Microsoft YaHei"/>
                <w:b/>
                <w:color w:val="263238"/>
                <w:sz w:val="19"/>
              </w:rPr>
              <w:t>项目</w:t>
            </w:r>
          </w:p>
        </w:tc>
        <w:tc>
          <w:tcPr>
            <w:tcW w:w="6800" w:type="dxa"/>
            <w:shd w:val="clear" w:fill="ECEFF1"/>
          </w:tcPr>
          <w:p>
            <w:pPr>
              <w:spacing w:before="80" w:after="80" w:line="300" w:lineRule="auto"/>
              <w:ind w:firstLine="0"/>
            </w:pPr>
            <w:r>
              <w:rPr>
                <w:rFonts w:ascii="Aptos" w:hAnsi="Aptos" w:eastAsia="Microsoft YaHei"/>
                <w:b/>
                <w:color w:val="263238"/>
                <w:sz w:val="19"/>
              </w:rPr>
              <w:t>内容</w:t>
            </w:r>
          </w:p>
        </w:tc>
      </w:tr>
      <w:tr>
        <w:trPr>
          <w:cantSplit/>
        </w:trPr>
        <w:tc>
          <w:tcPr>
            <w:tcW w:w="2200" w:type="dxa"/>
          </w:tcPr>
          <w:p>
            <w:pPr>
              <w:spacing w:before="80" w:after="80" w:line="300" w:lineRule="auto"/>
              <w:ind w:firstLine="0"/>
            </w:pPr>
            <w:r>
              <w:rPr>
                <w:rFonts w:ascii="Aptos" w:hAnsi="Aptos" w:eastAsia="Microsoft YaHei"/>
                <w:color w:val="546E7A"/>
                <w:sz w:val="18"/>
              </w:rPr>
              <w:t>文档目的</w:t>
            </w:r>
          </w:p>
        </w:tc>
        <w:tc>
          <w:tcPr>
            <w:tcW w:w="6800" w:type="dxa"/>
          </w:tcPr>
          <w:p>
            <w:pPr>
              <w:spacing w:before="80" w:after="80" w:line="300" w:lineRule="auto"/>
              <w:ind w:firstLine="0"/>
            </w:pPr>
            <w:r>
              <w:rPr>
                <w:rFonts w:ascii="Aptos" w:hAnsi="Aptos" w:eastAsia="Microsoft YaHei"/>
                <w:color w:val="546E7A"/>
                <w:sz w:val="18"/>
              </w:rPr>
              <w:t>对现有自动仿真系统方案进行技术评审，明确仿真策略、工具职责边界、接口改造和开发优先级。</w:t>
            </w:r>
          </w:p>
        </w:tc>
      </w:tr>
      <w:tr>
        <w:trPr>
          <w:cantSplit/>
        </w:trPr>
        <w:tc>
          <w:tcPr>
            <w:tcW w:w="2200" w:type="dxa"/>
          </w:tcPr>
          <w:p>
            <w:pPr>
              <w:spacing w:before="80" w:after="80" w:line="300" w:lineRule="auto"/>
              <w:ind w:firstLine="0"/>
            </w:pPr>
            <w:r>
              <w:rPr>
                <w:rFonts w:ascii="Aptos" w:hAnsi="Aptos" w:eastAsia="Microsoft YaHei"/>
                <w:color w:val="546E7A"/>
                <w:sz w:val="18"/>
              </w:rPr>
              <w:t>目标读者</w:t>
            </w:r>
          </w:p>
        </w:tc>
        <w:tc>
          <w:tcPr>
            <w:tcW w:w="6800" w:type="dxa"/>
          </w:tcPr>
          <w:p>
            <w:pPr>
              <w:spacing w:before="80" w:after="80" w:line="300" w:lineRule="auto"/>
              <w:ind w:firstLine="0"/>
            </w:pPr>
            <w:r>
              <w:rPr>
                <w:rFonts w:ascii="Aptos" w:hAnsi="Aptos" w:eastAsia="Microsoft YaHei"/>
                <w:color w:val="546E7A"/>
                <w:sz w:val="18"/>
              </w:rPr>
              <w:t>方案系统开发工程师、本地执行程序开发工程师、电磁/热/结构仿真工程师、项目负责人。</w:t>
            </w:r>
          </w:p>
        </w:tc>
      </w:tr>
      <w:tr>
        <w:trPr>
          <w:cantSplit/>
        </w:trPr>
        <w:tc>
          <w:tcPr>
            <w:tcW w:w="2200" w:type="dxa"/>
          </w:tcPr>
          <w:p>
            <w:pPr>
              <w:spacing w:before="80" w:after="80" w:line="300" w:lineRule="auto"/>
              <w:ind w:firstLine="0"/>
            </w:pPr>
            <w:r>
              <w:rPr>
                <w:rFonts w:ascii="Aptos" w:hAnsi="Aptos" w:eastAsia="Microsoft YaHei"/>
                <w:color w:val="546E7A"/>
                <w:sz w:val="18"/>
              </w:rPr>
              <w:t>评审范围</w:t>
            </w:r>
          </w:p>
        </w:tc>
        <w:tc>
          <w:tcPr>
            <w:tcW w:w="6800" w:type="dxa"/>
          </w:tcPr>
          <w:p>
            <w:pPr>
              <w:spacing w:before="80" w:after="80" w:line="300" w:lineRule="auto"/>
              <w:ind w:firstLine="0"/>
            </w:pPr>
            <w:r>
              <w:rPr>
                <w:rFonts w:ascii="Aptos" w:hAnsi="Aptos" w:eastAsia="Microsoft YaHei"/>
                <w:color w:val="546E7A"/>
                <w:sz w:val="18"/>
              </w:rPr>
              <w:t>仿真路径、参数搜索策略、Motor-CAD与Maxwell/JMAG协同方式、JSON接口、收敛判据、执行模式与风险控制。</w:t>
            </w:r>
          </w:p>
        </w:tc>
      </w:tr>
      <w:tr>
        <w:trPr>
          <w:cantSplit/>
        </w:trPr>
        <w:tc>
          <w:tcPr>
            <w:tcW w:w="2200" w:type="dxa"/>
          </w:tcPr>
          <w:p>
            <w:pPr>
              <w:spacing w:before="80" w:after="80" w:line="300" w:lineRule="auto"/>
              <w:ind w:firstLine="0"/>
            </w:pPr>
            <w:r>
              <w:rPr>
                <w:rFonts w:ascii="Aptos" w:hAnsi="Aptos" w:eastAsia="Microsoft YaHei"/>
                <w:color w:val="546E7A"/>
                <w:sz w:val="18"/>
              </w:rPr>
              <w:t>评审结论</w:t>
            </w:r>
          </w:p>
        </w:tc>
        <w:tc>
          <w:tcPr>
            <w:tcW w:w="6800" w:type="dxa"/>
          </w:tcPr>
          <w:p>
            <w:pPr>
              <w:spacing w:before="80" w:after="80" w:line="300" w:lineRule="auto"/>
              <w:ind w:firstLine="0"/>
            </w:pPr>
            <w:r>
              <w:rPr>
                <w:rFonts w:ascii="Aptos" w:hAnsi="Aptos" w:eastAsia="Microsoft YaHei"/>
                <w:color w:val="546E7A"/>
                <w:sz w:val="18"/>
              </w:rPr>
              <w:t>总体架构方向正确，建议有条件通过；仿真策略和接口契约需完成本文所列P0修改后再进入下一阶段开发。</w:t>
            </w:r>
          </w:p>
        </w:tc>
      </w:tr>
      <w:tr>
        <w:trPr>
          <w:cantSplit/>
        </w:trPr>
        <w:tc>
          <w:tcPr>
            <w:tcW w:w="2200" w:type="dxa"/>
          </w:tcPr>
          <w:p>
            <w:pPr>
              <w:spacing w:before="80" w:after="80" w:line="300" w:lineRule="auto"/>
              <w:ind w:firstLine="0"/>
            </w:pPr>
            <w:r>
              <w:rPr>
                <w:rFonts w:ascii="Aptos" w:hAnsi="Aptos" w:eastAsia="Microsoft YaHei"/>
                <w:color w:val="546E7A"/>
                <w:sz w:val="18"/>
              </w:rPr>
              <w:t>核心原则</w:t>
            </w:r>
          </w:p>
        </w:tc>
        <w:tc>
          <w:tcPr>
            <w:tcW w:w="6800" w:type="dxa"/>
          </w:tcPr>
          <w:p>
            <w:pPr>
              <w:spacing w:before="80" w:after="80" w:line="300" w:lineRule="auto"/>
              <w:ind w:firstLine="0"/>
            </w:pPr>
            <w:r>
              <w:rPr>
                <w:rFonts w:ascii="Aptos" w:hAnsi="Aptos" w:eastAsia="Microsoft YaHei"/>
                <w:color w:val="546E7A"/>
                <w:sz w:val="18"/>
              </w:rPr>
              <w:t>Motor-CAD用于快速收敛主要参数并做初步验证；Maxwell或JMAG用于PCB绕组和三维轴向效应的高保真校核。</w:t>
            </w:r>
          </w:p>
        </w:tc>
      </w:tr>
    </w:tbl>
    <w:p>
      <w:r>
        <w:br w:type="page"/>
      </w:r>
    </w:p>
    <w:p>
      <w:pPr>
        <w:pStyle w:val="Heading1"/>
      </w:pPr>
      <w:r>
        <w:t>目录</w:t>
      </w:r>
      <w:bookmarkStart w:name="_Toc000" w:id="87409"/>
      <w:bookmarkEnd w:id="87409"/>
    </w:p>
    <w:p>
      <w:pPr>
        <w:spacing w:after="300"/>
        <w:ind w:firstLine="0"/>
      </w:pPr>
      <w:r>
        <w:rPr>
          <w:rFonts w:ascii="Aptos" w:hAnsi="Aptos" w:eastAsia="Microsoft YaHei"/>
          <w:color w:val="78909C"/>
          <w:sz w:val="18"/>
        </w:rPr>
        <w:t>打开文档后，如页码未自动刷新，请右键目录并选择“更新域”。</w:t>
      </w:r>
    </w:p>
    <w:p>
      <w:r>
        <w:fldChar w:fldCharType="begin"/>
      </w:r>
      <w:r>
        <w:instrText xml:space="preserve"> TOC \o "1-3" \h \z \u </w:instrText>
      </w:r>
      <w:r>
        <w:fldChar w:fldCharType="separate"/>
      </w:r>
    </w:p>
    <w:p>
      <w:pPr>
        <w:pStyle w:val="TOC1"/>
      </w:pPr>
      <w:r>
        <w:t>一、评审结论与修改优先级</w:t>
      </w:r>
      <w:r>
        <w:tab/>
      </w:r>
      <w:r>
        <w:t>1</w:t>
      </w:r>
    </w:p>
    <w:p>
      <w:pPr>
        <w:pStyle w:val="TOC1"/>
      </w:pPr>
      <w:r>
        <w:t>二、现有方案的专家评审</w:t>
      </w:r>
      <w:r>
        <w:tab/>
      </w:r>
      <w:r>
        <w:t>3</w:t>
      </w:r>
    </w:p>
    <w:p>
      <w:pPr>
        <w:pStyle w:val="TOC1"/>
      </w:pPr>
      <w:r>
        <w:t>三、仿真路径方法全景与选择</w:t>
      </w:r>
      <w:r>
        <w:tab/>
      </w:r>
      <w:r>
        <w:t>6</w:t>
      </w:r>
    </w:p>
    <w:p>
      <w:pPr>
        <w:pStyle w:val="TOC1"/>
      </w:pPr>
      <w:r>
        <w:t>四、推荐的多保真度闭环仿真路径</w:t>
      </w:r>
      <w:r>
        <w:tab/>
      </w:r>
      <w:r>
        <w:t>9</w:t>
      </w:r>
    </w:p>
    <w:p>
      <w:pPr>
        <w:pStyle w:val="TOC1"/>
      </w:pPr>
      <w:r>
        <w:t>五、Motor-CAD与Maxwell/JMAG职责边界</w:t>
      </w:r>
      <w:r>
        <w:tab/>
      </w:r>
      <w:r>
        <w:t>13</w:t>
      </w:r>
    </w:p>
    <w:p>
      <w:pPr>
        <w:pStyle w:val="TOC1"/>
      </w:pPr>
      <w:r>
        <w:t>六、系统接口与执行引擎修改建议</w:t>
      </w:r>
      <w:r>
        <w:tab/>
      </w:r>
      <w:r>
        <w:t>15</w:t>
      </w:r>
    </w:p>
    <w:p>
      <w:pPr>
        <w:pStyle w:val="TOC1"/>
      </w:pPr>
      <w:r>
        <w:t>七、收敛判据与验收标准</w:t>
      </w:r>
      <w:r>
        <w:tab/>
      </w:r>
      <w:r>
        <w:t>19</w:t>
      </w:r>
    </w:p>
    <w:p>
      <w:pPr>
        <w:pStyle w:val="TOC1"/>
      </w:pPr>
      <w:r>
        <w:t>八、开发实施路线与验证用例</w:t>
      </w:r>
      <w:r>
        <w:tab/>
      </w:r>
      <w:r>
        <w:t>22</w:t>
      </w:r>
    </w:p>
    <w:p>
      <w:pPr>
        <w:pStyle w:val="TOC1"/>
      </w:pPr>
      <w:r>
        <w:t>九、主要风险与待确认问题</w:t>
      </w:r>
      <w:r>
        <w:tab/>
      </w:r>
      <w:r>
        <w:t>25</w:t>
      </w:r>
    </w:p>
    <w:p>
      <w:pPr>
        <w:pStyle w:val="TOC1"/>
      </w:pPr>
      <w:r>
        <w:t>十、附录</w:t>
      </w:r>
      <w:r>
        <w:tab/>
      </w:r>
      <w:r>
        <w:t>28</w:t>
      </w:r>
    </w:p>
    <w:p>
      <w:r>
        <w:fldChar w:fldCharType="end"/>
      </w:r>
    </w:p>
    <w:p>
      <w:pPr>
        <w:sectPr>
          <w:type w:val="nextPage"/>
          <w:pgSz w:w="11906" w:h="16838"/>
          <w:pgMar w:top="1800" w:right="1440" w:bottom="1440" w:left="1440" w:header="720" w:footer="720"/>
        </w:sectPr>
      </w:pPr>
    </w:p>
    <w:p>
      <w:pPr>
        <w:pStyle w:val="Heading1"/>
      </w:pPr>
      <w:r>
        <w:t>一、评审结论与修改优先级</w:t>
      </w:r>
      <w:bookmarkStart w:name="_Toc001" w:id="77180"/>
      <w:bookmarkEnd w:id="77180"/>
    </w:p>
    <w:tbl>
      <w:tblPr>
        <w:tblW w:w="5000" w:type="pct"/>
        <w:tblBorders>
          <w:top w:val="single" w:color="B08D57" w:sz="8"/>
          <w:left w:val="single" w:color="B08D57" w:sz="8"/>
          <w:bottom w:val="single" w:color="B08D57" w:sz="8"/>
          <w:right w:val="single" w:color="B08D57" w:sz="8"/>
        </w:tblBorders>
      </w:tblPr>
      <w:tblGrid>
        <w:gridCol w:w="9000"/>
      </w:tblGrid>
      <w:tr>
        <w:trPr>
          <w:cantSplit/>
        </w:trPr>
        <w:tc>
          <w:tcPr>
            <w:tcW w:w="9000" w:type="dxa"/>
            <w:shd w:val="clear" w:fill="ECEFF1"/>
          </w:tcPr>
          <w:p>
            <w:pPr>
              <w:spacing w:before="140" w:after="80"/>
              <w:ind w:firstLine="0"/>
            </w:pPr>
            <w:r>
              <w:rPr>
                <w:rFonts w:ascii="Aptos" w:hAnsi="Aptos" w:eastAsia="Microsoft YaHei"/>
                <w:b/>
                <w:color w:val="B08D57"/>
              </w:rPr>
              <w:t>评审结论</w:t>
            </w:r>
          </w:p>
          <w:p>
            <w:pPr>
              <w:spacing w:after="140"/>
              <w:ind w:firstLine="0"/>
            </w:pPr>
            <w:r>
              <w:rPr>
                <w:rFonts w:ascii="Aptos" w:hAnsi="Aptos" w:eastAsia="Microsoft YaHei"/>
                <w:color w:val="263238"/>
              </w:rPr>
              <w:t>现有方案的双系统解耦、标准化JSON接口、人在回路、断点续跑和知识沉淀机制均应保留。需要调整的核心不是系统架构，而是仿真策略：当前方案偏向固定批量DoE和代理模型全局优化，尚不足以保证在给定边界条件下快速找到工程可行解，也没有充分约束Motor-CAD近似PCB模型与Maxwell/JMAG高保真模型之间的职责边界。</w:t>
            </w:r>
          </w:p>
        </w:tc>
      </w:tr>
    </w:tbl>
    <w:p>
      <w:r>
        <w:t>建议将总体评审结论定为“有条件通过”：系统架构和阶段规划可继续推进，但在进入算法增强和工具扩展开发前，必须完成本文列出的P0修改。尤其应把仿真策略从单一“参数扫描方案”升级为“多保真度模型路径＋可行性优先搜索＋批量自适应闭环”。</w:t>
      </w:r>
    </w:p>
    <w:p>
      <w:r>
        <w:t>结合已确认的工程事实，Motor-CAD只能以近似方式表达PCB绕组，但足以承担主要参数快速收敛、关键工况筛选和初步验证；Maxwell或JMAG必须承担PCB局部电流分布、交流损耗、三维轴向磁路和最终性能的高保真校核。任何只经过Motor-CAD计算而未经过高保真复核的方案，不应被标记为最终可行设计。</w:t>
      </w:r>
    </w:p>
    <w:p>
      <w:pPr>
        <w:pStyle w:val="Heading2"/>
      </w:pPr>
      <w:r>
        <w:t>1.1 必须修改项（P0）</w:t>
      </w:r>
    </w:p>
    <w:p>
      <w:pPr>
        <w:pStyle w:val="Bullet"/>
      </w:pPr>
      <w:r>
        <w:t>在方案生成前增加L0解析与规则预筛选，先排除几何、电气、热和制造上明显不可行的区域。</w:t>
      </w:r>
    </w:p>
    <w:p>
      <w:pPr>
        <w:pStyle w:val="Bullet"/>
      </w:pPr>
      <w:r>
        <w:t>把“扫描策略”拆分为“搜索策略”和“保真度策略”，避免把所有问题都表达成固定参数队列。</w:t>
      </w:r>
    </w:p>
    <w:p>
      <w:pPr>
        <w:pStyle w:val="Bullet"/>
      </w:pPr>
      <w:r>
        <w:t>新增可行性优先模式，默认采用约束贝叶斯、主动学习或信任域局部搜索；LHS＋Kriging＋NSGA-II保留为全局Pareto模式。</w:t>
      </w:r>
    </w:p>
    <w:p>
      <w:pPr>
        <w:pStyle w:val="Bullet"/>
      </w:pPr>
      <w:r>
        <w:t>明确Motor-CAD、Maxwell/JMAG的分层职责和升级条件，建立低保真—高保真偏差校准机制。</w:t>
      </w:r>
    </w:p>
    <w:p>
      <w:pPr>
        <w:pStyle w:val="Bullet"/>
      </w:pPr>
      <w:r>
        <w:t>将收敛判据拆分为求解器收敛、硬约束收敛、优化收敛、代理模型可信、高保真一致性和鲁棒性六类。</w:t>
      </w:r>
    </w:p>
    <w:p>
      <w:pPr>
        <w:pStyle w:val="Bullet"/>
      </w:pPr>
      <w:r>
        <w:t>扩展结果数据模型，记录模型版本、保真度等级、求解设置、约束裕量、校准系数和置信等级。</w:t>
      </w:r>
    </w:p>
    <w:p>
      <w:pPr>
        <w:pStyle w:val="Heading2"/>
      </w:pPr>
      <w:r>
        <w:t>1.2 建议保留项</w:t>
      </w:r>
    </w:p>
    <w:tbl>
      <w:tblPr>
        <w:tblW w:w="5000" w:type="pct"/>
        <w:tblBorders>
          <w:top w:val="single" w:color="263238" w:sz="12"/>
          <w:left w:val="nil"/>
          <w:bottom w:val="single" w:color="263238" w:sz="12"/>
          <w:right w:val="nil"/>
          <w:insideH w:val="single" w:color="CFD8DC" w:sz="4"/>
          <w:insideV w:val="nil"/>
        </w:tblBorders>
      </w:tblPr>
      <w:tblGrid>
        <w:gridCol w:w="2200"/>
        <w:gridCol w:w="3600"/>
        <w:gridCol w:w="3200"/>
      </w:tblGrid>
      <w:tr>
        <w:trPr>
          <w:cantSplit/>
          <w:tblHeader/>
        </w:trPr>
        <w:tc>
          <w:tcPr>
            <w:tcW w:w="2200" w:type="dxa"/>
            <w:shd w:val="clear" w:fill="ECEFF1"/>
          </w:tcPr>
          <w:p>
            <w:pPr>
              <w:spacing w:before="80" w:after="80" w:line="300" w:lineRule="auto"/>
              <w:ind w:firstLine="0"/>
            </w:pPr>
            <w:r>
              <w:rPr>
                <w:rFonts w:ascii="Aptos" w:hAnsi="Aptos" w:eastAsia="Microsoft YaHei"/>
                <w:b/>
                <w:color w:val="263238"/>
                <w:sz w:val="19"/>
              </w:rPr>
              <w:t>原方案设计</w:t>
            </w:r>
          </w:p>
        </w:tc>
        <w:tc>
          <w:tcPr>
            <w:tcW w:w="3600" w:type="dxa"/>
            <w:shd w:val="clear" w:fill="ECEFF1"/>
          </w:tcPr>
          <w:p>
            <w:pPr>
              <w:spacing w:before="80" w:after="80" w:line="300" w:lineRule="auto"/>
              <w:ind w:firstLine="0"/>
            </w:pPr>
            <w:r>
              <w:rPr>
                <w:rFonts w:ascii="Aptos" w:hAnsi="Aptos" w:eastAsia="Microsoft YaHei"/>
                <w:b/>
                <w:color w:val="263238"/>
                <w:sz w:val="19"/>
              </w:rPr>
              <w:t>评审意见</w:t>
            </w:r>
          </w:p>
        </w:tc>
        <w:tc>
          <w:tcPr>
            <w:tcW w:w="3200" w:type="dxa"/>
            <w:shd w:val="clear" w:fill="ECEFF1"/>
          </w:tcPr>
          <w:p>
            <w:pPr>
              <w:spacing w:before="80" w:after="80" w:line="300" w:lineRule="auto"/>
              <w:ind w:firstLine="0"/>
            </w:pPr>
            <w:r>
              <w:rPr>
                <w:rFonts w:ascii="Aptos" w:hAnsi="Aptos" w:eastAsia="Microsoft YaHei"/>
                <w:b/>
                <w:color w:val="263238"/>
                <w:sz w:val="19"/>
              </w:rPr>
              <w:t>处理建议</w:t>
            </w:r>
          </w:p>
        </w:tc>
      </w:tr>
      <w:tr>
        <w:trPr>
          <w:cantSplit/>
        </w:trPr>
        <w:tc>
          <w:tcPr>
            <w:tcW w:w="2200" w:type="dxa"/>
          </w:tcPr>
          <w:p>
            <w:pPr>
              <w:spacing w:before="80" w:after="80" w:line="300" w:lineRule="auto"/>
              <w:ind w:firstLine="0"/>
            </w:pPr>
            <w:r>
              <w:rPr>
                <w:rFonts w:ascii="Aptos" w:hAnsi="Aptos" w:eastAsia="Microsoft YaHei"/>
                <w:color w:val="546E7A"/>
                <w:sz w:val="18"/>
              </w:rPr>
              <w:t>双系统解耦</w:t>
            </w:r>
          </w:p>
        </w:tc>
        <w:tc>
          <w:tcPr>
            <w:tcW w:w="3600" w:type="dxa"/>
          </w:tcPr>
          <w:p>
            <w:pPr>
              <w:spacing w:before="80" w:after="80" w:line="300" w:lineRule="auto"/>
              <w:ind w:firstLine="0"/>
            </w:pPr>
            <w:r>
              <w:rPr>
                <w:rFonts w:ascii="Aptos" w:hAnsi="Aptos" w:eastAsia="Microsoft YaHei"/>
                <w:color w:val="546E7A"/>
                <w:sz w:val="18"/>
              </w:rPr>
              <w:t>方向正确，有利于Web端与本地执行环境独立迭代。</w:t>
            </w:r>
          </w:p>
        </w:tc>
        <w:tc>
          <w:tcPr>
            <w:tcW w:w="3200" w:type="dxa"/>
          </w:tcPr>
          <w:p>
            <w:pPr>
              <w:spacing w:before="80" w:after="80" w:line="300" w:lineRule="auto"/>
              <w:ind w:firstLine="0"/>
            </w:pPr>
            <w:r>
              <w:rPr>
                <w:rFonts w:ascii="Aptos" w:hAnsi="Aptos" w:eastAsia="Microsoft YaHei"/>
                <w:color w:val="546E7A"/>
                <w:sz w:val="18"/>
              </w:rPr>
              <w:t>保留，并增加批量自适应通信模式。</w:t>
            </w:r>
          </w:p>
        </w:tc>
      </w:tr>
      <w:tr>
        <w:trPr>
          <w:cantSplit/>
        </w:trPr>
        <w:tc>
          <w:tcPr>
            <w:tcW w:w="2200" w:type="dxa"/>
          </w:tcPr>
          <w:p>
            <w:pPr>
              <w:spacing w:before="80" w:after="80" w:line="300" w:lineRule="auto"/>
              <w:ind w:firstLine="0"/>
            </w:pPr>
            <w:r>
              <w:rPr>
                <w:rFonts w:ascii="Aptos" w:hAnsi="Aptos" w:eastAsia="Microsoft YaHei"/>
                <w:color w:val="546E7A"/>
                <w:sz w:val="18"/>
              </w:rPr>
              <w:t>标准化JSON契约</w:t>
            </w:r>
          </w:p>
        </w:tc>
        <w:tc>
          <w:tcPr>
            <w:tcW w:w="3600" w:type="dxa"/>
          </w:tcPr>
          <w:p>
            <w:pPr>
              <w:spacing w:before="80" w:after="80" w:line="300" w:lineRule="auto"/>
              <w:ind w:firstLine="0"/>
            </w:pPr>
            <w:r>
              <w:rPr>
                <w:rFonts w:ascii="Aptos" w:hAnsi="Aptos" w:eastAsia="Microsoft YaHei"/>
                <w:color w:val="546E7A"/>
                <w:sz w:val="18"/>
              </w:rPr>
              <w:t>是系统可扩展的核心。</w:t>
            </w:r>
          </w:p>
        </w:tc>
        <w:tc>
          <w:tcPr>
            <w:tcW w:w="3200" w:type="dxa"/>
          </w:tcPr>
          <w:p>
            <w:pPr>
              <w:spacing w:before="80" w:after="80" w:line="300" w:lineRule="auto"/>
              <w:ind w:firstLine="0"/>
            </w:pPr>
            <w:r>
              <w:rPr>
                <w:rFonts w:ascii="Aptos" w:hAnsi="Aptos" w:eastAsia="Microsoft YaHei"/>
                <w:color w:val="546E7A"/>
                <w:sz w:val="18"/>
              </w:rPr>
              <w:t>保留，但必须扩展搜索、保真度、收敛和校准字段。</w:t>
            </w:r>
          </w:p>
        </w:tc>
      </w:tr>
      <w:tr>
        <w:trPr>
          <w:cantSplit/>
        </w:trPr>
        <w:tc>
          <w:tcPr>
            <w:tcW w:w="2200" w:type="dxa"/>
          </w:tcPr>
          <w:p>
            <w:pPr>
              <w:spacing w:before="80" w:after="80" w:line="300" w:lineRule="auto"/>
              <w:ind w:firstLine="0"/>
            </w:pPr>
            <w:r>
              <w:rPr>
                <w:rFonts w:ascii="Aptos" w:hAnsi="Aptos" w:eastAsia="Microsoft YaHei"/>
                <w:color w:val="546E7A"/>
                <w:sz w:val="18"/>
              </w:rPr>
              <w:t>人在回路</w:t>
            </w:r>
          </w:p>
        </w:tc>
        <w:tc>
          <w:tcPr>
            <w:tcW w:w="3600" w:type="dxa"/>
          </w:tcPr>
          <w:p>
            <w:pPr>
              <w:spacing w:before="80" w:after="80" w:line="300" w:lineRule="auto"/>
              <w:ind w:firstLine="0"/>
            </w:pPr>
            <w:r>
              <w:rPr>
                <w:rFonts w:ascii="Aptos" w:hAnsi="Aptos" w:eastAsia="Microsoft YaHei"/>
                <w:color w:val="546E7A"/>
                <w:sz w:val="18"/>
              </w:rPr>
              <w:t>适合仿真方案审核和知识入库审核。</w:t>
            </w:r>
          </w:p>
        </w:tc>
        <w:tc>
          <w:tcPr>
            <w:tcW w:w="3200" w:type="dxa"/>
          </w:tcPr>
          <w:p>
            <w:pPr>
              <w:spacing w:before="80" w:after="80" w:line="300" w:lineRule="auto"/>
              <w:ind w:firstLine="0"/>
            </w:pPr>
            <w:r>
              <w:rPr>
                <w:rFonts w:ascii="Aptos" w:hAnsi="Aptos" w:eastAsia="Microsoft YaHei"/>
                <w:color w:val="546E7A"/>
                <w:sz w:val="18"/>
              </w:rPr>
              <w:t>保留；不要把所有人工确认都放在每一次选点上，否则会破坏闭环效率。</w:t>
            </w:r>
          </w:p>
        </w:tc>
      </w:tr>
      <w:tr>
        <w:trPr>
          <w:cantSplit/>
        </w:trPr>
        <w:tc>
          <w:tcPr>
            <w:tcW w:w="2200" w:type="dxa"/>
          </w:tcPr>
          <w:p>
            <w:pPr>
              <w:spacing w:before="80" w:after="80" w:line="300" w:lineRule="auto"/>
              <w:ind w:firstLine="0"/>
            </w:pPr>
            <w:r>
              <w:rPr>
                <w:rFonts w:ascii="Aptos" w:hAnsi="Aptos" w:eastAsia="Microsoft YaHei"/>
                <w:color w:val="546E7A"/>
                <w:sz w:val="18"/>
              </w:rPr>
              <w:t>结果校验规则</w:t>
            </w:r>
          </w:p>
        </w:tc>
        <w:tc>
          <w:tcPr>
            <w:tcW w:w="3600" w:type="dxa"/>
          </w:tcPr>
          <w:p>
            <w:pPr>
              <w:spacing w:before="80" w:after="80" w:line="300" w:lineRule="auto"/>
              <w:ind w:firstLine="0"/>
            </w:pPr>
            <w:r>
              <w:rPr>
                <w:rFonts w:ascii="Aptos" w:hAnsi="Aptos" w:eastAsia="Microsoft YaHei"/>
                <w:color w:val="546E7A"/>
                <w:sz w:val="18"/>
              </w:rPr>
              <w:t>非常必要，是结果可信度的第一道防线。</w:t>
            </w:r>
          </w:p>
        </w:tc>
        <w:tc>
          <w:tcPr>
            <w:tcW w:w="3200" w:type="dxa"/>
          </w:tcPr>
          <w:p>
            <w:pPr>
              <w:spacing w:before="80" w:after="80" w:line="300" w:lineRule="auto"/>
              <w:ind w:firstLine="0"/>
            </w:pPr>
            <w:r>
              <w:rPr>
                <w:rFonts w:ascii="Aptos" w:hAnsi="Aptos" w:eastAsia="Microsoft YaHei"/>
                <w:color w:val="546E7A"/>
                <w:sz w:val="18"/>
              </w:rPr>
              <w:t>保留，并增加跨工具一致性和模型置信度规则。</w:t>
            </w:r>
          </w:p>
        </w:tc>
      </w:tr>
      <w:tr>
        <w:trPr>
          <w:cantSplit/>
        </w:trPr>
        <w:tc>
          <w:tcPr>
            <w:tcW w:w="2200" w:type="dxa"/>
          </w:tcPr>
          <w:p>
            <w:pPr>
              <w:spacing w:before="80" w:after="80" w:line="300" w:lineRule="auto"/>
              <w:ind w:firstLine="0"/>
            </w:pPr>
            <w:r>
              <w:rPr>
                <w:rFonts w:ascii="Aptos" w:hAnsi="Aptos" w:eastAsia="Microsoft YaHei"/>
                <w:color w:val="546E7A"/>
                <w:sz w:val="18"/>
              </w:rPr>
              <w:t>断点续跑与错误恢复</w:t>
            </w:r>
          </w:p>
        </w:tc>
        <w:tc>
          <w:tcPr>
            <w:tcW w:w="3600" w:type="dxa"/>
          </w:tcPr>
          <w:p>
            <w:pPr>
              <w:spacing w:before="80" w:after="80" w:line="300" w:lineRule="auto"/>
              <w:ind w:firstLine="0"/>
            </w:pPr>
            <w:r>
              <w:rPr>
                <w:rFonts w:ascii="Aptos" w:hAnsi="Aptos" w:eastAsia="Microsoft YaHei"/>
                <w:color w:val="546E7A"/>
                <w:sz w:val="18"/>
              </w:rPr>
              <w:t>符合长时仿真场景。</w:t>
            </w:r>
          </w:p>
        </w:tc>
        <w:tc>
          <w:tcPr>
            <w:tcW w:w="3200" w:type="dxa"/>
          </w:tcPr>
          <w:p>
            <w:pPr>
              <w:spacing w:before="80" w:after="80" w:line="300" w:lineRule="auto"/>
              <w:ind w:firstLine="0"/>
            </w:pPr>
            <w:r>
              <w:rPr>
                <w:rFonts w:ascii="Aptos" w:hAnsi="Aptos" w:eastAsia="Microsoft YaHei"/>
                <w:color w:val="546E7A"/>
                <w:sz w:val="18"/>
              </w:rPr>
              <w:t>保留，并改为基于参数哈希和结果完整性的缓存机制。</w:t>
            </w:r>
          </w:p>
        </w:tc>
      </w:tr>
      <w:tr>
        <w:trPr>
          <w:cantSplit/>
        </w:trPr>
        <w:tc>
          <w:tcPr>
            <w:tcW w:w="2200" w:type="dxa"/>
          </w:tcPr>
          <w:p>
            <w:pPr>
              <w:spacing w:before="80" w:after="80" w:line="300" w:lineRule="auto"/>
              <w:ind w:firstLine="0"/>
            </w:pPr>
            <w:r>
              <w:rPr>
                <w:rFonts w:ascii="Aptos" w:hAnsi="Aptos" w:eastAsia="Microsoft YaHei"/>
                <w:color w:val="546E7A"/>
                <w:sz w:val="18"/>
              </w:rPr>
              <w:t>知识自动沉淀</w:t>
            </w:r>
          </w:p>
        </w:tc>
        <w:tc>
          <w:tcPr>
            <w:tcW w:w="3600" w:type="dxa"/>
          </w:tcPr>
          <w:p>
            <w:pPr>
              <w:spacing w:before="80" w:after="80" w:line="300" w:lineRule="auto"/>
              <w:ind w:firstLine="0"/>
            </w:pPr>
            <w:r>
              <w:rPr>
                <w:rFonts w:ascii="Aptos" w:hAnsi="Aptos" w:eastAsia="Microsoft YaHei"/>
                <w:color w:val="546E7A"/>
                <w:sz w:val="18"/>
              </w:rPr>
              <w:t>具备长期价值。</w:t>
            </w:r>
          </w:p>
        </w:tc>
        <w:tc>
          <w:tcPr>
            <w:tcW w:w="3200" w:type="dxa"/>
          </w:tcPr>
          <w:p>
            <w:pPr>
              <w:spacing w:before="80" w:after="80" w:line="300" w:lineRule="auto"/>
              <w:ind w:firstLine="0"/>
            </w:pPr>
            <w:r>
              <w:rPr>
                <w:rFonts w:ascii="Aptos" w:hAnsi="Aptos" w:eastAsia="Microsoft YaHei"/>
                <w:color w:val="546E7A"/>
                <w:sz w:val="18"/>
              </w:rPr>
              <w:t>保留，但沉淀内容必须绑定模型版本和保真度，避免错误经验扩散。</w:t>
            </w:r>
          </w:p>
        </w:tc>
      </w:tr>
    </w:tbl>
    <w:p>
      <w:pPr>
        <w:pStyle w:val="Heading2"/>
      </w:pPr>
      <w:r>
        <w:t>1.3 一句话给开发团队</w:t>
      </w:r>
    </w:p>
    <w:tbl>
      <w:tblPr>
        <w:tblW w:w="5000" w:type="pct"/>
        <w:tblBorders>
          <w:top w:val="single" w:color="B08D57" w:sz="8"/>
          <w:left w:val="single" w:color="B08D57" w:sz="8"/>
          <w:bottom w:val="single" w:color="B08D57" w:sz="8"/>
          <w:right w:val="single" w:color="B08D57" w:sz="8"/>
        </w:tblBorders>
      </w:tblPr>
      <w:tblGrid>
        <w:gridCol w:w="9000"/>
      </w:tblGrid>
      <w:tr>
        <w:trPr>
          <w:cantSplit/>
        </w:trPr>
        <w:tc>
          <w:tcPr>
            <w:tcW w:w="9000" w:type="dxa"/>
            <w:shd w:val="clear" w:fill="ECEFF1"/>
          </w:tcPr>
          <w:p>
            <w:pPr>
              <w:spacing w:before="140" w:after="80"/>
              <w:ind w:firstLine="0"/>
            </w:pPr>
            <w:r>
              <w:rPr>
                <w:rFonts w:ascii="Aptos" w:hAnsi="Aptos" w:eastAsia="Microsoft YaHei"/>
                <w:b/>
                <w:color w:val="B08D57"/>
              </w:rPr>
              <w:t>实施导向</w:t>
            </w:r>
          </w:p>
          <w:p>
            <w:pPr>
              <w:spacing w:after="140"/>
              <w:ind w:firstLine="0"/>
            </w:pPr>
            <w:r>
              <w:rPr>
                <w:rFonts w:ascii="Aptos" w:hAnsi="Aptos" w:eastAsia="Microsoft YaHei"/>
                <w:color w:val="263238"/>
              </w:rPr>
              <w:t>不要先开发一个“能跑很多参数组合”的执行器，再反过来思考如何收敛；应先定义什么叫可行、什么叫收敛、什么结果必须由Maxwell/JMAG确认，再让执行器围绕这些判据选择下一批仿真点。</w:t>
            </w:r>
          </w:p>
        </w:tc>
      </w:tr>
    </w:tbl>
    <w:p>
      <w:pPr>
        <w:pStyle w:val="Heading1"/>
      </w:pPr>
      <w:r>
        <w:t>二、现有方案的专家评审</w:t>
      </w:r>
      <w:bookmarkStart w:name="_Toc002" w:id="9679"/>
      <w:bookmarkEnd w:id="9679"/>
    </w:p>
    <w:p>
      <w:pPr>
        <w:pStyle w:val="Heading2"/>
      </w:pPr>
      <w:r>
        <w:t>2.1 总体判断</w:t>
      </w:r>
    </w:p>
    <w:p>
      <w:r>
        <w:t>附件中的V1.1方案已经具备较完整的平台思维，特别是经验库、规则引擎、AI推理、人工确认、执行程序、结果校验和知识库的闭环设计。其主要短板在于：把“优化算法流程”当成了完整的“仿真路径”，而没有把模型可信度、工具职责、PCB建模近似和跨工具校准作为一等公民。</w:t>
      </w:r>
    </w:p>
    <w:p>
      <w:r>
        <w:t>对PCB轴向磁通电机而言，仿真路径的有效性不仅取决于Morris、LHS、Kriging或NSGA-II，还取决于每个参数组合究竟用什么模型计算、计算到哪个精度、在哪些工况下复核、什么时候必须升级到3D FEA。Motor-CAD与Maxwell/JMAG不是替代关系，而是分层协同关系。</w:t>
      </w:r>
    </w:p>
    <w:p>
      <w:pPr>
        <w:pStyle w:val="Heading2"/>
      </w:pPr>
      <w:r>
        <w:t>2.2 当前方案的优点</w:t>
      </w:r>
    </w:p>
    <w:p>
      <w:pPr>
        <w:pStyle w:val="Bullet"/>
      </w:pPr>
      <w:r>
        <w:t>系统边界清楚：方案生成与执行程序通过JSON解耦，符合企业内网和本地仿真环境的实际约束。</w:t>
      </w:r>
    </w:p>
    <w:p>
      <w:pPr>
        <w:pStyle w:val="Bullet"/>
      </w:pPr>
      <w:r>
        <w:t>工程可控性较强：方案预览、人工确认、日志、断点续跑和错误恢复机制均符合仿真工程师工作习惯。</w:t>
      </w:r>
    </w:p>
    <w:p>
      <w:pPr>
        <w:pStyle w:val="Bullet"/>
      </w:pPr>
      <w:r>
        <w:t>工具扩展方向合理：先Motor-CAD，后Maxwell、JMAG、Flux，符合风险和成本递增的实施顺序。</w:t>
      </w:r>
    </w:p>
    <w:p>
      <w:pPr>
        <w:pStyle w:val="Bullet"/>
      </w:pPr>
      <w:r>
        <w:t>结果数据结构已有雏形：输入、输出、校验状态、耗时和错误信息均已考虑。</w:t>
      </w:r>
    </w:p>
    <w:p>
      <w:pPr>
        <w:pStyle w:val="Bullet"/>
      </w:pPr>
      <w:r>
        <w:t>算法基础方向正确：Morris、LHS、Kriging和NSGA-II均是电机代理优化中常见且可解释的组合。</w:t>
      </w:r>
    </w:p>
    <w:p>
      <w:pPr>
        <w:pStyle w:val="Heading2"/>
      </w:pPr>
      <w:r>
        <w:t>2.3 关键问题诊断</w:t>
      </w:r>
    </w:p>
    <w:tbl>
      <w:tblPr>
        <w:tblW w:w="5000" w:type="pct"/>
        <w:tblBorders>
          <w:top w:val="single" w:color="263238" w:sz="12"/>
          <w:left w:val="nil"/>
          <w:bottom w:val="single" w:color="263238" w:sz="12"/>
          <w:right w:val="nil"/>
          <w:insideH w:val="single" w:color="CFD8DC" w:sz="4"/>
          <w:insideV w:val="nil"/>
        </w:tblBorders>
      </w:tblPr>
      <w:tblGrid>
        <w:gridCol w:w="2300"/>
        <w:gridCol w:w="3000"/>
        <w:gridCol w:w="1200"/>
        <w:gridCol w:w="2500"/>
      </w:tblGrid>
      <w:tr>
        <w:trPr>
          <w:cantSplit/>
          <w:tblHeader/>
        </w:trPr>
        <w:tc>
          <w:tcPr>
            <w:tcW w:w="2300" w:type="dxa"/>
            <w:shd w:val="clear" w:fill="ECEFF1"/>
          </w:tcPr>
          <w:p>
            <w:pPr>
              <w:spacing w:before="80" w:after="80" w:line="300" w:lineRule="auto"/>
              <w:ind w:firstLine="0"/>
            </w:pPr>
            <w:r>
              <w:rPr>
                <w:rFonts w:ascii="Aptos" w:hAnsi="Aptos" w:eastAsia="Microsoft YaHei"/>
                <w:b/>
                <w:color w:val="263238"/>
                <w:sz w:val="19"/>
              </w:rPr>
              <w:t>问题</w:t>
            </w:r>
          </w:p>
        </w:tc>
        <w:tc>
          <w:tcPr>
            <w:tcW w:w="3000" w:type="dxa"/>
            <w:shd w:val="clear" w:fill="ECEFF1"/>
          </w:tcPr>
          <w:p>
            <w:pPr>
              <w:spacing w:before="80" w:after="80" w:line="300" w:lineRule="auto"/>
              <w:ind w:firstLine="0"/>
            </w:pPr>
            <w:r>
              <w:rPr>
                <w:rFonts w:ascii="Aptos" w:hAnsi="Aptos" w:eastAsia="Microsoft YaHei"/>
                <w:b/>
                <w:color w:val="263238"/>
                <w:sz w:val="19"/>
              </w:rPr>
              <w:t>影响</w:t>
            </w:r>
          </w:p>
        </w:tc>
        <w:tc>
          <w:tcPr>
            <w:tcW w:w="1200" w:type="dxa"/>
            <w:shd w:val="clear" w:fill="ECEFF1"/>
          </w:tcPr>
          <w:p>
            <w:pPr>
              <w:spacing w:before="80" w:after="80" w:line="300" w:lineRule="auto"/>
              <w:ind w:firstLine="0"/>
            </w:pPr>
            <w:r>
              <w:rPr>
                <w:rFonts w:ascii="Aptos" w:hAnsi="Aptos" w:eastAsia="Microsoft YaHei"/>
                <w:b/>
                <w:color w:val="263238"/>
                <w:sz w:val="19"/>
              </w:rPr>
              <w:t>严重度</w:t>
            </w:r>
          </w:p>
        </w:tc>
        <w:tc>
          <w:tcPr>
            <w:tcW w:w="2500" w:type="dxa"/>
            <w:shd w:val="clear" w:fill="ECEFF1"/>
          </w:tcPr>
          <w:p>
            <w:pPr>
              <w:spacing w:before="80" w:after="80" w:line="300" w:lineRule="auto"/>
              <w:ind w:firstLine="0"/>
            </w:pPr>
            <w:r>
              <w:rPr>
                <w:rFonts w:ascii="Aptos" w:hAnsi="Aptos" w:eastAsia="Microsoft YaHei"/>
                <w:b/>
                <w:color w:val="263238"/>
                <w:sz w:val="19"/>
              </w:rPr>
              <w:t>专家建议</w:t>
            </w:r>
          </w:p>
        </w:tc>
      </w:tr>
      <w:tr>
        <w:trPr>
          <w:cantSplit/>
        </w:trPr>
        <w:tc>
          <w:tcPr>
            <w:tcW w:w="2300" w:type="dxa"/>
          </w:tcPr>
          <w:p>
            <w:pPr>
              <w:spacing w:before="80" w:after="80" w:line="300" w:lineRule="auto"/>
              <w:ind w:firstLine="0"/>
            </w:pPr>
            <w:r>
              <w:rPr>
                <w:rFonts w:ascii="Aptos" w:hAnsi="Aptos" w:eastAsia="Microsoft YaHei"/>
                <w:color w:val="546E7A"/>
                <w:sz w:val="18"/>
              </w:rPr>
              <w:t>把固定DoE流程作为默认主路径</w:t>
            </w:r>
          </w:p>
        </w:tc>
        <w:tc>
          <w:tcPr>
            <w:tcW w:w="3000" w:type="dxa"/>
          </w:tcPr>
          <w:p>
            <w:pPr>
              <w:spacing w:before="80" w:after="80" w:line="300" w:lineRule="auto"/>
              <w:ind w:firstLine="0"/>
            </w:pPr>
            <w:r>
              <w:rPr>
                <w:rFonts w:ascii="Aptos" w:hAnsi="Aptos" w:eastAsia="Microsoft YaHei"/>
                <w:color w:val="546E7A"/>
                <w:sz w:val="18"/>
              </w:rPr>
              <w:t>前期会浪费大量仿真预算在非可行区域，不能保证快速收敛到可行解。</w:t>
            </w:r>
          </w:p>
        </w:tc>
        <w:tc>
          <w:tcPr>
            <w:tcW w:w="1200" w:type="dxa"/>
          </w:tcPr>
          <w:p>
            <w:pPr>
              <w:spacing w:before="80" w:after="80" w:line="300" w:lineRule="auto"/>
              <w:ind w:firstLine="0"/>
            </w:pPr>
            <w:r>
              <w:rPr>
                <w:rFonts w:ascii="Aptos" w:hAnsi="Aptos" w:eastAsia="Microsoft YaHei"/>
                <w:color w:val="546E7A"/>
                <w:sz w:val="18"/>
              </w:rPr>
              <w:t>高</w:t>
            </w:r>
          </w:p>
        </w:tc>
        <w:tc>
          <w:tcPr>
            <w:tcW w:w="2500" w:type="dxa"/>
          </w:tcPr>
          <w:p>
            <w:pPr>
              <w:spacing w:before="80" w:after="80" w:line="300" w:lineRule="auto"/>
              <w:ind w:firstLine="0"/>
            </w:pPr>
            <w:r>
              <w:rPr>
                <w:rFonts w:ascii="Aptos" w:hAnsi="Aptos" w:eastAsia="Microsoft YaHei"/>
                <w:color w:val="546E7A"/>
                <w:sz w:val="18"/>
              </w:rPr>
              <w:t>默认改为可行性优先的约束自适应搜索；固定DoE仅用于全局探索。</w:t>
            </w:r>
          </w:p>
        </w:tc>
      </w:tr>
      <w:tr>
        <w:trPr>
          <w:cantSplit/>
        </w:trPr>
        <w:tc>
          <w:tcPr>
            <w:tcW w:w="2300" w:type="dxa"/>
          </w:tcPr>
          <w:p>
            <w:pPr>
              <w:spacing w:before="80" w:after="80" w:line="300" w:lineRule="auto"/>
              <w:ind w:firstLine="0"/>
            </w:pPr>
            <w:r>
              <w:rPr>
                <w:rFonts w:ascii="Aptos" w:hAnsi="Aptos" w:eastAsia="Microsoft YaHei"/>
                <w:color w:val="546E7A"/>
                <w:sz w:val="18"/>
              </w:rPr>
              <w:t>缺少保真度分级</w:t>
            </w:r>
          </w:p>
        </w:tc>
        <w:tc>
          <w:tcPr>
            <w:tcW w:w="3000" w:type="dxa"/>
          </w:tcPr>
          <w:p>
            <w:pPr>
              <w:spacing w:before="80" w:after="80" w:line="300" w:lineRule="auto"/>
              <w:ind w:firstLine="0"/>
            </w:pPr>
            <w:r>
              <w:rPr>
                <w:rFonts w:ascii="Aptos" w:hAnsi="Aptos" w:eastAsia="Microsoft YaHei"/>
                <w:color w:val="546E7A"/>
                <w:sz w:val="18"/>
              </w:rPr>
              <w:t>无法判断Motor-CAD结果能否作为最终依据，也无法控制Maxwell/JMAG调用成本。</w:t>
            </w:r>
          </w:p>
        </w:tc>
        <w:tc>
          <w:tcPr>
            <w:tcW w:w="1200" w:type="dxa"/>
          </w:tcPr>
          <w:p>
            <w:pPr>
              <w:spacing w:before="80" w:after="80" w:line="300" w:lineRule="auto"/>
              <w:ind w:firstLine="0"/>
            </w:pPr>
            <w:r>
              <w:rPr>
                <w:rFonts w:ascii="Aptos" w:hAnsi="Aptos" w:eastAsia="Microsoft YaHei"/>
                <w:color w:val="546E7A"/>
                <w:sz w:val="18"/>
              </w:rPr>
              <w:t>高</w:t>
            </w:r>
          </w:p>
        </w:tc>
        <w:tc>
          <w:tcPr>
            <w:tcW w:w="2500" w:type="dxa"/>
          </w:tcPr>
          <w:p>
            <w:pPr>
              <w:spacing w:before="80" w:after="80" w:line="300" w:lineRule="auto"/>
              <w:ind w:firstLine="0"/>
            </w:pPr>
            <w:r>
              <w:rPr>
                <w:rFonts w:ascii="Aptos" w:hAnsi="Aptos" w:eastAsia="Microsoft YaHei"/>
                <w:color w:val="546E7A"/>
                <w:sz w:val="18"/>
              </w:rPr>
              <w:t>建立L0～L4模型层级和升级规则。</w:t>
            </w:r>
          </w:p>
        </w:tc>
      </w:tr>
      <w:tr>
        <w:trPr>
          <w:cantSplit/>
        </w:trPr>
        <w:tc>
          <w:tcPr>
            <w:tcW w:w="2300" w:type="dxa"/>
          </w:tcPr>
          <w:p>
            <w:pPr>
              <w:spacing w:before="80" w:after="80" w:line="300" w:lineRule="auto"/>
              <w:ind w:firstLine="0"/>
            </w:pPr>
            <w:r>
              <w:rPr>
                <w:rFonts w:ascii="Aptos" w:hAnsi="Aptos" w:eastAsia="Microsoft YaHei"/>
                <w:color w:val="546E7A"/>
                <w:sz w:val="18"/>
              </w:rPr>
              <w:t>PCB绕组近似边界未固化</w:t>
            </w:r>
          </w:p>
        </w:tc>
        <w:tc>
          <w:tcPr>
            <w:tcW w:w="3000" w:type="dxa"/>
          </w:tcPr>
          <w:p>
            <w:pPr>
              <w:spacing w:before="80" w:after="80" w:line="300" w:lineRule="auto"/>
              <w:ind w:firstLine="0"/>
            </w:pPr>
            <w:r>
              <w:rPr>
                <w:rFonts w:ascii="Aptos" w:hAnsi="Aptos" w:eastAsia="Microsoft YaHei"/>
                <w:color w:val="546E7A"/>
                <w:sz w:val="18"/>
              </w:rPr>
              <w:t>可能把近似模型误差误认为真实优化收益。</w:t>
            </w:r>
          </w:p>
        </w:tc>
        <w:tc>
          <w:tcPr>
            <w:tcW w:w="1200" w:type="dxa"/>
          </w:tcPr>
          <w:p>
            <w:pPr>
              <w:spacing w:before="80" w:after="80" w:line="300" w:lineRule="auto"/>
              <w:ind w:firstLine="0"/>
            </w:pPr>
            <w:r>
              <w:rPr>
                <w:rFonts w:ascii="Aptos" w:hAnsi="Aptos" w:eastAsia="Microsoft YaHei"/>
                <w:color w:val="546E7A"/>
                <w:sz w:val="18"/>
              </w:rPr>
              <w:t>高</w:t>
            </w:r>
          </w:p>
        </w:tc>
        <w:tc>
          <w:tcPr>
            <w:tcW w:w="2500" w:type="dxa"/>
          </w:tcPr>
          <w:p>
            <w:pPr>
              <w:spacing w:before="80" w:after="80" w:line="300" w:lineRule="auto"/>
              <w:ind w:firstLine="0"/>
            </w:pPr>
            <w:r>
              <w:rPr>
                <w:rFonts w:ascii="Aptos" w:hAnsi="Aptos" w:eastAsia="Microsoft YaHei"/>
                <w:color w:val="546E7A"/>
                <w:sz w:val="18"/>
              </w:rPr>
              <w:t>把PCB建模假设、近似参数和校准系数写入方案与结果。</w:t>
            </w:r>
          </w:p>
        </w:tc>
      </w:tr>
      <w:tr>
        <w:trPr>
          <w:cantSplit/>
        </w:trPr>
        <w:tc>
          <w:tcPr>
            <w:tcW w:w="2300" w:type="dxa"/>
          </w:tcPr>
          <w:p>
            <w:pPr>
              <w:spacing w:before="80" w:after="80" w:line="300" w:lineRule="auto"/>
              <w:ind w:firstLine="0"/>
            </w:pPr>
            <w:r>
              <w:rPr>
                <w:rFonts w:ascii="Aptos" w:hAnsi="Aptos" w:eastAsia="Microsoft YaHei"/>
                <w:color w:val="546E7A"/>
                <w:sz w:val="18"/>
              </w:rPr>
              <w:t>JSON契约偏静态</w:t>
            </w:r>
          </w:p>
        </w:tc>
        <w:tc>
          <w:tcPr>
            <w:tcW w:w="3000" w:type="dxa"/>
          </w:tcPr>
          <w:p>
            <w:pPr>
              <w:spacing w:before="80" w:after="80" w:line="300" w:lineRule="auto"/>
              <w:ind w:firstLine="0"/>
            </w:pPr>
            <w:r>
              <w:rPr>
                <w:rFonts w:ascii="Aptos" w:hAnsi="Aptos" w:eastAsia="Microsoft YaHei"/>
                <w:color w:val="546E7A"/>
                <w:sz w:val="18"/>
              </w:rPr>
              <w:t>无法支持主动学习、贝叶斯优化和自适应加点。</w:t>
            </w:r>
          </w:p>
        </w:tc>
        <w:tc>
          <w:tcPr>
            <w:tcW w:w="1200" w:type="dxa"/>
          </w:tcPr>
          <w:p>
            <w:pPr>
              <w:spacing w:before="80" w:after="80" w:line="300" w:lineRule="auto"/>
              <w:ind w:firstLine="0"/>
            </w:pPr>
            <w:r>
              <w:rPr>
                <w:rFonts w:ascii="Aptos" w:hAnsi="Aptos" w:eastAsia="Microsoft YaHei"/>
                <w:color w:val="546E7A"/>
                <w:sz w:val="18"/>
              </w:rPr>
              <w:t>高</w:t>
            </w:r>
          </w:p>
        </w:tc>
        <w:tc>
          <w:tcPr>
            <w:tcW w:w="2500" w:type="dxa"/>
          </w:tcPr>
          <w:p>
            <w:pPr>
              <w:spacing w:before="80" w:after="80" w:line="300" w:lineRule="auto"/>
              <w:ind w:firstLine="0"/>
            </w:pPr>
            <w:r>
              <w:rPr>
                <w:rFonts w:ascii="Aptos" w:hAnsi="Aptos" w:eastAsia="Microsoft YaHei"/>
                <w:color w:val="546E7A"/>
                <w:sz w:val="18"/>
              </w:rPr>
              <w:t>增加fixed_plan、batch_adaptive、local_closed_loop三种执行模式。</w:t>
            </w:r>
          </w:p>
        </w:tc>
      </w:tr>
      <w:tr>
        <w:trPr>
          <w:cantSplit/>
        </w:trPr>
        <w:tc>
          <w:tcPr>
            <w:tcW w:w="2300" w:type="dxa"/>
          </w:tcPr>
          <w:p>
            <w:pPr>
              <w:spacing w:before="80" w:after="80" w:line="300" w:lineRule="auto"/>
              <w:ind w:firstLine="0"/>
            </w:pPr>
            <w:r>
              <w:rPr>
                <w:rFonts w:ascii="Aptos" w:hAnsi="Aptos" w:eastAsia="Microsoft YaHei"/>
                <w:color w:val="546E7A"/>
                <w:sz w:val="18"/>
              </w:rPr>
              <w:t>停止条件概念混杂</w:t>
            </w:r>
          </w:p>
        </w:tc>
        <w:tc>
          <w:tcPr>
            <w:tcW w:w="3000" w:type="dxa"/>
          </w:tcPr>
          <w:p>
            <w:pPr>
              <w:spacing w:before="80" w:after="80" w:line="300" w:lineRule="auto"/>
              <w:ind w:firstLine="0"/>
            </w:pPr>
            <w:r>
              <w:rPr>
                <w:rFonts w:ascii="Aptos" w:hAnsi="Aptos" w:eastAsia="Microsoft YaHei"/>
                <w:color w:val="546E7A"/>
                <w:sz w:val="18"/>
              </w:rPr>
              <w:t>求解器收敛、目标达成、代理模型稳定和跨工具一致被混在一起。</w:t>
            </w:r>
          </w:p>
        </w:tc>
        <w:tc>
          <w:tcPr>
            <w:tcW w:w="1200" w:type="dxa"/>
          </w:tcPr>
          <w:p>
            <w:pPr>
              <w:spacing w:before="80" w:after="80" w:line="300" w:lineRule="auto"/>
              <w:ind w:firstLine="0"/>
            </w:pPr>
            <w:r>
              <w:rPr>
                <w:rFonts w:ascii="Aptos" w:hAnsi="Aptos" w:eastAsia="Microsoft YaHei"/>
                <w:color w:val="546E7A"/>
                <w:sz w:val="18"/>
              </w:rPr>
              <w:t>中高</w:t>
            </w:r>
          </w:p>
        </w:tc>
        <w:tc>
          <w:tcPr>
            <w:tcW w:w="2500" w:type="dxa"/>
          </w:tcPr>
          <w:p>
            <w:pPr>
              <w:spacing w:before="80" w:after="80" w:line="300" w:lineRule="auto"/>
              <w:ind w:firstLine="0"/>
            </w:pPr>
            <w:r>
              <w:rPr>
                <w:rFonts w:ascii="Aptos" w:hAnsi="Aptos" w:eastAsia="Microsoft YaHei"/>
                <w:color w:val="546E7A"/>
                <w:sz w:val="18"/>
              </w:rPr>
              <w:t>拆分六类收敛判据并分别记录状态。</w:t>
            </w:r>
          </w:p>
        </w:tc>
      </w:tr>
      <w:tr>
        <w:trPr>
          <w:cantSplit/>
        </w:trPr>
        <w:tc>
          <w:tcPr>
            <w:tcW w:w="2300" w:type="dxa"/>
          </w:tcPr>
          <w:p>
            <w:pPr>
              <w:spacing w:before="80" w:after="80" w:line="300" w:lineRule="auto"/>
              <w:ind w:firstLine="0"/>
            </w:pPr>
            <w:r>
              <w:rPr>
                <w:rFonts w:ascii="Aptos" w:hAnsi="Aptos" w:eastAsia="Microsoft YaHei"/>
                <w:color w:val="546E7A"/>
                <w:sz w:val="18"/>
              </w:rPr>
              <w:t>边界条件不完整</w:t>
            </w:r>
          </w:p>
        </w:tc>
        <w:tc>
          <w:tcPr>
            <w:tcW w:w="3000" w:type="dxa"/>
          </w:tcPr>
          <w:p>
            <w:pPr>
              <w:spacing w:before="80" w:after="80" w:line="300" w:lineRule="auto"/>
              <w:ind w:firstLine="0"/>
            </w:pPr>
            <w:r>
              <w:rPr>
                <w:rFonts w:ascii="Aptos" w:hAnsi="Aptos" w:eastAsia="Microsoft YaHei"/>
                <w:color w:val="546E7A"/>
                <w:sz w:val="18"/>
              </w:rPr>
              <w:t>容易收敛到仿真可行但工程不可制造的方案。</w:t>
            </w:r>
          </w:p>
        </w:tc>
        <w:tc>
          <w:tcPr>
            <w:tcW w:w="1200" w:type="dxa"/>
          </w:tcPr>
          <w:p>
            <w:pPr>
              <w:spacing w:before="80" w:after="80" w:line="300" w:lineRule="auto"/>
              <w:ind w:firstLine="0"/>
            </w:pPr>
            <w:r>
              <w:rPr>
                <w:rFonts w:ascii="Aptos" w:hAnsi="Aptos" w:eastAsia="Microsoft YaHei"/>
                <w:color w:val="546E7A"/>
                <w:sz w:val="18"/>
              </w:rPr>
              <w:t>中高</w:t>
            </w:r>
          </w:p>
        </w:tc>
        <w:tc>
          <w:tcPr>
            <w:tcW w:w="2500" w:type="dxa"/>
          </w:tcPr>
          <w:p>
            <w:pPr>
              <w:spacing w:before="80" w:after="80" w:line="300" w:lineRule="auto"/>
              <w:ind w:firstLine="0"/>
            </w:pPr>
            <w:r>
              <w:rPr>
                <w:rFonts w:ascii="Aptos" w:hAnsi="Aptos" w:eastAsia="Microsoft YaHei"/>
                <w:color w:val="546E7A"/>
                <w:sz w:val="18"/>
              </w:rPr>
              <w:t>补充母线电压、电流限制、冷却边界、PCB工艺、公差和材料温度属性。</w:t>
            </w:r>
          </w:p>
        </w:tc>
      </w:tr>
      <w:tr>
        <w:trPr>
          <w:cantSplit/>
        </w:trPr>
        <w:tc>
          <w:tcPr>
            <w:tcW w:w="2300" w:type="dxa"/>
          </w:tcPr>
          <w:p>
            <w:pPr>
              <w:spacing w:before="80" w:after="80" w:line="300" w:lineRule="auto"/>
              <w:ind w:firstLine="0"/>
            </w:pPr>
            <w:r>
              <w:rPr>
                <w:rFonts w:ascii="Aptos" w:hAnsi="Aptos" w:eastAsia="Microsoft YaHei"/>
                <w:color w:val="546E7A"/>
                <w:sz w:val="18"/>
              </w:rPr>
              <w:t>样本量估算偏粗</w:t>
            </w:r>
          </w:p>
        </w:tc>
        <w:tc>
          <w:tcPr>
            <w:tcW w:w="3000" w:type="dxa"/>
          </w:tcPr>
          <w:p>
            <w:pPr>
              <w:spacing w:before="80" w:after="80" w:line="300" w:lineRule="auto"/>
              <w:ind w:firstLine="0"/>
            </w:pPr>
            <w:r>
              <w:rPr>
                <w:rFonts w:ascii="Aptos" w:hAnsi="Aptos" w:eastAsia="Microsoft YaHei"/>
                <w:color w:val="546E7A"/>
                <w:sz w:val="18"/>
              </w:rPr>
              <w:t>Morris和LHS成本可能被低估，导致排期失真。</w:t>
            </w:r>
          </w:p>
        </w:tc>
        <w:tc>
          <w:tcPr>
            <w:tcW w:w="1200" w:type="dxa"/>
          </w:tcPr>
          <w:p>
            <w:pPr>
              <w:spacing w:before="80" w:after="80" w:line="300" w:lineRule="auto"/>
              <w:ind w:firstLine="0"/>
            </w:pPr>
            <w:r>
              <w:rPr>
                <w:rFonts w:ascii="Aptos" w:hAnsi="Aptos" w:eastAsia="Microsoft YaHei"/>
                <w:color w:val="546E7A"/>
                <w:sz w:val="18"/>
              </w:rPr>
              <w:t>中</w:t>
            </w:r>
          </w:p>
        </w:tc>
        <w:tc>
          <w:tcPr>
            <w:tcW w:w="2500" w:type="dxa"/>
          </w:tcPr>
          <w:p>
            <w:pPr>
              <w:spacing w:before="80" w:after="80" w:line="300" w:lineRule="auto"/>
              <w:ind w:firstLine="0"/>
            </w:pPr>
            <w:r>
              <w:rPr>
                <w:rFonts w:ascii="Aptos" w:hAnsi="Aptos" w:eastAsia="Microsoft YaHei"/>
                <w:color w:val="546E7A"/>
                <w:sz w:val="18"/>
              </w:rPr>
              <w:t>按参数维度、轨迹数和并行资源重新估算预算。</w:t>
            </w:r>
          </w:p>
        </w:tc>
      </w:tr>
    </w:tbl>
    <w:p>
      <w:pPr>
        <w:pStyle w:val="Heading2"/>
      </w:pPr>
      <w:r>
        <w:t>2.4 对算法章节的专项意见</w:t>
      </w:r>
    </w:p>
    <w:p>
      <w:r>
        <w:t>附件第6章的“四阶段分层优化策略”建议改名为“全局探索模式”。它适合做设计空间理解、敏感性分析和Pareto前沿，不适合作为所有项目的默认快速求解路径。原因是该流程需要先投入Morris和LHS训练样本，再构建代理模型并执行NSGA-II；若用户目标只是尽快得到一个满足边界条件的方案，大量样本可能集中在远离可行域的位置。</w:t>
      </w:r>
    </w:p>
    <w:p>
      <w:r>
        <w:t>Morris样本量应按N＝r(k＋1)重新估算，其中k为参数数、r为轨迹数。若初筛参数达到8个、轨迹数取10，则需要约90次评估，而不是文档中笼统估计的10～50次。Kriging在维度较高或样本不足时也会迅速失去稳定性，因此应将“参数降维”和“可行域裁剪”前置。</w:t>
      </w:r>
    </w:p>
    <w:p>
      <w:pPr>
        <w:pStyle w:val="Heading1"/>
      </w:pPr>
      <w:r>
        <w:t>三、仿真路径方法全景与选择</w:t>
      </w:r>
      <w:bookmarkStart w:name="_Toc003" w:id="89631"/>
      <w:bookmarkEnd w:id="89631"/>
    </w:p>
    <w:p>
      <w:r>
        <w:t>仿真路径应同时回答两个问题：下一批参数为什么值得仿真，以及这批参数应该用哪个保真度模型计算。只讨论优化算法而忽略模型层级，会导致路径表面上智能、工程上失真。</w:t>
      </w:r>
    </w:p>
    <w:p>
      <w:pPr>
        <w:pStyle w:val="Heading2"/>
      </w:pPr>
      <w:r>
        <w:t>3.1 方法对比矩阵</w:t>
      </w:r>
    </w:p>
    <w:tbl>
      <w:tblPr>
        <w:tblW w:w="5000" w:type="pct"/>
        <w:tblBorders>
          <w:top w:val="single" w:color="263238" w:sz="12"/>
          <w:left w:val="nil"/>
          <w:bottom w:val="single" w:color="263238" w:sz="12"/>
          <w:right w:val="nil"/>
          <w:insideH w:val="single" w:color="CFD8DC" w:sz="4"/>
          <w:insideV w:val="nil"/>
        </w:tblBorders>
      </w:tblPr>
      <w:tblGrid>
        <w:gridCol w:w="2100"/>
        <w:gridCol w:w="2500"/>
        <w:gridCol w:w="1100"/>
        <w:gridCol w:w="2300"/>
        <w:gridCol w:w="2200"/>
      </w:tblGrid>
      <w:tr>
        <w:trPr>
          <w:cantSplit/>
          <w:tblHeader/>
        </w:trPr>
        <w:tc>
          <w:tcPr>
            <w:tcW w:w="2100" w:type="dxa"/>
            <w:shd w:val="clear" w:fill="ECEFF1"/>
          </w:tcPr>
          <w:p>
            <w:pPr>
              <w:spacing w:before="80" w:after="80" w:line="300" w:lineRule="auto"/>
              <w:ind w:firstLine="0"/>
            </w:pPr>
            <w:r>
              <w:rPr>
                <w:rFonts w:ascii="Aptos" w:hAnsi="Aptos" w:eastAsia="Microsoft YaHei"/>
                <w:b/>
                <w:color w:val="263238"/>
                <w:sz w:val="19"/>
              </w:rPr>
              <w:t>路径方法</w:t>
            </w:r>
          </w:p>
        </w:tc>
        <w:tc>
          <w:tcPr>
            <w:tcW w:w="2500" w:type="dxa"/>
            <w:shd w:val="clear" w:fill="ECEFF1"/>
          </w:tcPr>
          <w:p>
            <w:pPr>
              <w:spacing w:before="80" w:after="80" w:line="300" w:lineRule="auto"/>
              <w:ind w:firstLine="0"/>
            </w:pPr>
            <w:r>
              <w:rPr>
                <w:rFonts w:ascii="Aptos" w:hAnsi="Aptos" w:eastAsia="Microsoft YaHei"/>
                <w:b/>
                <w:color w:val="263238"/>
                <w:sz w:val="19"/>
              </w:rPr>
              <w:t>适用目标</w:t>
            </w:r>
          </w:p>
        </w:tc>
        <w:tc>
          <w:tcPr>
            <w:tcW w:w="1100" w:type="dxa"/>
            <w:shd w:val="clear" w:fill="ECEFF1"/>
          </w:tcPr>
          <w:p>
            <w:pPr>
              <w:spacing w:before="80" w:after="80" w:line="300" w:lineRule="auto"/>
              <w:ind w:firstLine="0"/>
            </w:pPr>
            <w:r>
              <w:rPr>
                <w:rFonts w:ascii="Aptos" w:hAnsi="Aptos" w:eastAsia="Microsoft YaHei"/>
                <w:b/>
                <w:color w:val="263238"/>
                <w:sz w:val="19"/>
              </w:rPr>
              <w:t>效率</w:t>
            </w:r>
          </w:p>
        </w:tc>
        <w:tc>
          <w:tcPr>
            <w:tcW w:w="2300" w:type="dxa"/>
            <w:shd w:val="clear" w:fill="ECEFF1"/>
          </w:tcPr>
          <w:p>
            <w:pPr>
              <w:spacing w:before="80" w:after="80" w:line="300" w:lineRule="auto"/>
              <w:ind w:firstLine="0"/>
            </w:pPr>
            <w:r>
              <w:rPr>
                <w:rFonts w:ascii="Aptos" w:hAnsi="Aptos" w:eastAsia="Microsoft YaHei"/>
                <w:b/>
                <w:color w:val="263238"/>
                <w:sz w:val="19"/>
              </w:rPr>
              <w:t>主要风险</w:t>
            </w:r>
          </w:p>
        </w:tc>
        <w:tc>
          <w:tcPr>
            <w:tcW w:w="2200" w:type="dxa"/>
            <w:shd w:val="clear" w:fill="ECEFF1"/>
          </w:tcPr>
          <w:p>
            <w:pPr>
              <w:spacing w:before="80" w:after="80" w:line="300" w:lineRule="auto"/>
              <w:ind w:firstLine="0"/>
            </w:pPr>
            <w:r>
              <w:rPr>
                <w:rFonts w:ascii="Aptos" w:hAnsi="Aptos" w:eastAsia="Microsoft YaHei"/>
                <w:b/>
                <w:color w:val="263238"/>
                <w:sz w:val="19"/>
              </w:rPr>
              <w:t>建议定位</w:t>
            </w:r>
          </w:p>
        </w:tc>
      </w:tr>
      <w:tr>
        <w:trPr>
          <w:cantSplit/>
        </w:trPr>
        <w:tc>
          <w:tcPr>
            <w:tcW w:w="2100" w:type="dxa"/>
          </w:tcPr>
          <w:p>
            <w:pPr>
              <w:spacing w:before="80" w:after="80" w:line="300" w:lineRule="auto"/>
              <w:ind w:firstLine="0"/>
            </w:pPr>
            <w:r>
              <w:rPr>
                <w:rFonts w:ascii="Aptos" w:hAnsi="Aptos" w:eastAsia="Microsoft YaHei"/>
                <w:color w:val="546E7A"/>
                <w:sz w:val="18"/>
              </w:rPr>
              <w:t>经验初值＋人工扫描</w:t>
            </w:r>
          </w:p>
        </w:tc>
        <w:tc>
          <w:tcPr>
            <w:tcW w:w="2500" w:type="dxa"/>
          </w:tcPr>
          <w:p>
            <w:pPr>
              <w:spacing w:before="80" w:after="80" w:line="300" w:lineRule="auto"/>
              <w:ind w:firstLine="0"/>
            </w:pPr>
            <w:r>
              <w:rPr>
                <w:rFonts w:ascii="Aptos" w:hAnsi="Aptos" w:eastAsia="Microsoft YaHei"/>
                <w:color w:val="546E7A"/>
                <w:sz w:val="18"/>
              </w:rPr>
              <w:t>模型调试、异常诊断、专家复核</w:t>
            </w:r>
          </w:p>
        </w:tc>
        <w:tc>
          <w:tcPr>
            <w:tcW w:w="1100" w:type="dxa"/>
          </w:tcPr>
          <w:p>
            <w:pPr>
              <w:spacing w:before="80" w:after="80" w:line="300" w:lineRule="auto"/>
              <w:ind w:firstLine="0"/>
            </w:pPr>
            <w:r>
              <w:rPr>
                <w:rFonts w:ascii="Aptos" w:hAnsi="Aptos" w:eastAsia="Microsoft YaHei"/>
                <w:color w:val="546E7A"/>
                <w:sz w:val="18"/>
              </w:rPr>
              <w:t>低—中</w:t>
            </w:r>
          </w:p>
        </w:tc>
        <w:tc>
          <w:tcPr>
            <w:tcW w:w="2300" w:type="dxa"/>
          </w:tcPr>
          <w:p>
            <w:pPr>
              <w:spacing w:before="80" w:after="80" w:line="300" w:lineRule="auto"/>
              <w:ind w:firstLine="0"/>
            </w:pPr>
            <w:r>
              <w:rPr>
                <w:rFonts w:ascii="Aptos" w:hAnsi="Aptos" w:eastAsia="Microsoft YaHei"/>
                <w:color w:val="546E7A"/>
                <w:sz w:val="18"/>
              </w:rPr>
              <w:t>依赖个人经验，易陷入局部最优</w:t>
            </w:r>
          </w:p>
        </w:tc>
        <w:tc>
          <w:tcPr>
            <w:tcW w:w="2200" w:type="dxa"/>
          </w:tcPr>
          <w:p>
            <w:pPr>
              <w:spacing w:before="80" w:after="80" w:line="300" w:lineRule="auto"/>
              <w:ind w:firstLine="0"/>
            </w:pPr>
            <w:r>
              <w:rPr>
                <w:rFonts w:ascii="Aptos" w:hAnsi="Aptos" w:eastAsia="Microsoft YaHei"/>
                <w:color w:val="546E7A"/>
                <w:sz w:val="18"/>
              </w:rPr>
              <w:t>保留为专家模式，不作默认主路径</w:t>
            </w:r>
          </w:p>
        </w:tc>
      </w:tr>
      <w:tr>
        <w:trPr>
          <w:cantSplit/>
        </w:trPr>
        <w:tc>
          <w:tcPr>
            <w:tcW w:w="2100" w:type="dxa"/>
          </w:tcPr>
          <w:p>
            <w:pPr>
              <w:spacing w:before="80" w:after="80" w:line="300" w:lineRule="auto"/>
              <w:ind w:firstLine="0"/>
            </w:pPr>
            <w:r>
              <w:rPr>
                <w:rFonts w:ascii="Aptos" w:hAnsi="Aptos" w:eastAsia="Microsoft YaHei"/>
                <w:color w:val="546E7A"/>
                <w:sz w:val="18"/>
              </w:rPr>
              <w:t>规则＋解析预筛选</w:t>
            </w:r>
          </w:p>
        </w:tc>
        <w:tc>
          <w:tcPr>
            <w:tcW w:w="2500" w:type="dxa"/>
          </w:tcPr>
          <w:p>
            <w:pPr>
              <w:spacing w:before="80" w:after="80" w:line="300" w:lineRule="auto"/>
              <w:ind w:firstLine="0"/>
            </w:pPr>
            <w:r>
              <w:rPr>
                <w:rFonts w:ascii="Aptos" w:hAnsi="Aptos" w:eastAsia="Microsoft YaHei"/>
                <w:color w:val="546E7A"/>
                <w:sz w:val="18"/>
              </w:rPr>
              <w:t>排除明显不可行区域</w:t>
            </w:r>
          </w:p>
        </w:tc>
        <w:tc>
          <w:tcPr>
            <w:tcW w:w="1100" w:type="dxa"/>
          </w:tcPr>
          <w:p>
            <w:pPr>
              <w:spacing w:before="80" w:after="80" w:line="300" w:lineRule="auto"/>
              <w:ind w:firstLine="0"/>
            </w:pPr>
            <w:r>
              <w:rPr>
                <w:rFonts w:ascii="Aptos" w:hAnsi="Aptos" w:eastAsia="Microsoft YaHei"/>
                <w:color w:val="546E7A"/>
                <w:sz w:val="18"/>
              </w:rPr>
              <w:t>极高</w:t>
            </w:r>
          </w:p>
        </w:tc>
        <w:tc>
          <w:tcPr>
            <w:tcW w:w="2300" w:type="dxa"/>
          </w:tcPr>
          <w:p>
            <w:pPr>
              <w:spacing w:before="80" w:after="80" w:line="300" w:lineRule="auto"/>
              <w:ind w:firstLine="0"/>
            </w:pPr>
            <w:r>
              <w:rPr>
                <w:rFonts w:ascii="Aptos" w:hAnsi="Aptos" w:eastAsia="Microsoft YaHei"/>
                <w:color w:val="546E7A"/>
                <w:sz w:val="18"/>
              </w:rPr>
              <w:t>解析模型精度有限</w:t>
            </w:r>
          </w:p>
        </w:tc>
        <w:tc>
          <w:tcPr>
            <w:tcW w:w="2200" w:type="dxa"/>
          </w:tcPr>
          <w:p>
            <w:pPr>
              <w:spacing w:before="80" w:after="80" w:line="300" w:lineRule="auto"/>
              <w:ind w:firstLine="0"/>
            </w:pPr>
            <w:r>
              <w:rPr>
                <w:rFonts w:ascii="Aptos" w:hAnsi="Aptos" w:eastAsia="Microsoft YaHei"/>
                <w:color w:val="546E7A"/>
                <w:sz w:val="18"/>
              </w:rPr>
              <w:t>所有路径的L0入口</w:t>
            </w:r>
          </w:p>
        </w:tc>
      </w:tr>
      <w:tr>
        <w:trPr>
          <w:cantSplit/>
        </w:trPr>
        <w:tc>
          <w:tcPr>
            <w:tcW w:w="2100" w:type="dxa"/>
          </w:tcPr>
          <w:p>
            <w:pPr>
              <w:spacing w:before="80" w:after="80" w:line="300" w:lineRule="auto"/>
              <w:ind w:firstLine="0"/>
            </w:pPr>
            <w:r>
              <w:rPr>
                <w:rFonts w:ascii="Aptos" w:hAnsi="Aptos" w:eastAsia="Microsoft YaHei"/>
                <w:color w:val="546E7A"/>
                <w:sz w:val="18"/>
              </w:rPr>
              <w:t>全因子/网格扫描</w:t>
            </w:r>
          </w:p>
        </w:tc>
        <w:tc>
          <w:tcPr>
            <w:tcW w:w="2500" w:type="dxa"/>
          </w:tcPr>
          <w:p>
            <w:pPr>
              <w:spacing w:before="80" w:after="80" w:line="300" w:lineRule="auto"/>
              <w:ind w:firstLine="0"/>
            </w:pPr>
            <w:r>
              <w:rPr>
                <w:rFonts w:ascii="Aptos" w:hAnsi="Aptos" w:eastAsia="Microsoft YaHei"/>
                <w:color w:val="546E7A"/>
                <w:sz w:val="18"/>
              </w:rPr>
              <w:t>2～3个变量的局部响应面</w:t>
            </w:r>
          </w:p>
        </w:tc>
        <w:tc>
          <w:tcPr>
            <w:tcW w:w="1100" w:type="dxa"/>
          </w:tcPr>
          <w:p>
            <w:pPr>
              <w:spacing w:before="80" w:after="80" w:line="300" w:lineRule="auto"/>
              <w:ind w:firstLine="0"/>
            </w:pPr>
            <w:r>
              <w:rPr>
                <w:rFonts w:ascii="Aptos" w:hAnsi="Aptos" w:eastAsia="Microsoft YaHei"/>
                <w:color w:val="546E7A"/>
                <w:sz w:val="18"/>
              </w:rPr>
              <w:t>低</w:t>
            </w:r>
          </w:p>
        </w:tc>
        <w:tc>
          <w:tcPr>
            <w:tcW w:w="2300" w:type="dxa"/>
          </w:tcPr>
          <w:p>
            <w:pPr>
              <w:spacing w:before="80" w:after="80" w:line="300" w:lineRule="auto"/>
              <w:ind w:firstLine="0"/>
            </w:pPr>
            <w:r>
              <w:rPr>
                <w:rFonts w:ascii="Aptos" w:hAnsi="Aptos" w:eastAsia="Microsoft YaHei"/>
                <w:color w:val="546E7A"/>
                <w:sz w:val="18"/>
              </w:rPr>
              <w:t>维度灾难</w:t>
            </w:r>
          </w:p>
        </w:tc>
        <w:tc>
          <w:tcPr>
            <w:tcW w:w="2200" w:type="dxa"/>
          </w:tcPr>
          <w:p>
            <w:pPr>
              <w:spacing w:before="80" w:after="80" w:line="300" w:lineRule="auto"/>
              <w:ind w:firstLine="0"/>
            </w:pPr>
            <w:r>
              <w:rPr>
                <w:rFonts w:ascii="Aptos" w:hAnsi="Aptos" w:eastAsia="Microsoft YaHei"/>
                <w:color w:val="546E7A"/>
                <w:sz w:val="18"/>
              </w:rPr>
              <w:t>仅用于最终候选局部复核</w:t>
            </w:r>
          </w:p>
        </w:tc>
      </w:tr>
      <w:tr>
        <w:trPr>
          <w:cantSplit/>
        </w:trPr>
        <w:tc>
          <w:tcPr>
            <w:tcW w:w="2100" w:type="dxa"/>
          </w:tcPr>
          <w:p>
            <w:pPr>
              <w:spacing w:before="80" w:after="80" w:line="300" w:lineRule="auto"/>
              <w:ind w:firstLine="0"/>
            </w:pPr>
            <w:r>
              <w:rPr>
                <w:rFonts w:ascii="Aptos" w:hAnsi="Aptos" w:eastAsia="Microsoft YaHei"/>
                <w:color w:val="546E7A"/>
                <w:sz w:val="18"/>
              </w:rPr>
              <w:t>Morris/OAT筛选</w:t>
            </w:r>
          </w:p>
        </w:tc>
        <w:tc>
          <w:tcPr>
            <w:tcW w:w="2500" w:type="dxa"/>
          </w:tcPr>
          <w:p>
            <w:pPr>
              <w:spacing w:before="80" w:after="80" w:line="300" w:lineRule="auto"/>
              <w:ind w:firstLine="0"/>
            </w:pPr>
            <w:r>
              <w:rPr>
                <w:rFonts w:ascii="Aptos" w:hAnsi="Aptos" w:eastAsia="Microsoft YaHei"/>
                <w:color w:val="546E7A"/>
                <w:sz w:val="18"/>
              </w:rPr>
              <w:t>高维参数初筛</w:t>
            </w:r>
          </w:p>
        </w:tc>
        <w:tc>
          <w:tcPr>
            <w:tcW w:w="1100" w:type="dxa"/>
          </w:tcPr>
          <w:p>
            <w:pPr>
              <w:spacing w:before="80" w:after="80" w:line="300" w:lineRule="auto"/>
              <w:ind w:firstLine="0"/>
            </w:pPr>
            <w:r>
              <w:rPr>
                <w:rFonts w:ascii="Aptos" w:hAnsi="Aptos" w:eastAsia="Microsoft YaHei"/>
                <w:color w:val="546E7A"/>
                <w:sz w:val="18"/>
              </w:rPr>
              <w:t>高</w:t>
            </w:r>
          </w:p>
        </w:tc>
        <w:tc>
          <w:tcPr>
            <w:tcW w:w="2300" w:type="dxa"/>
          </w:tcPr>
          <w:p>
            <w:pPr>
              <w:spacing w:before="80" w:after="80" w:line="300" w:lineRule="auto"/>
              <w:ind w:firstLine="0"/>
            </w:pPr>
            <w:r>
              <w:rPr>
                <w:rFonts w:ascii="Aptos" w:hAnsi="Aptos" w:eastAsia="Microsoft YaHei"/>
                <w:color w:val="546E7A"/>
                <w:sz w:val="18"/>
              </w:rPr>
              <w:t>对强交互和多峰问题不完整</w:t>
            </w:r>
          </w:p>
        </w:tc>
        <w:tc>
          <w:tcPr>
            <w:tcW w:w="2200" w:type="dxa"/>
          </w:tcPr>
          <w:p>
            <w:pPr>
              <w:spacing w:before="80" w:after="80" w:line="300" w:lineRule="auto"/>
              <w:ind w:firstLine="0"/>
            </w:pPr>
            <w:r>
              <w:rPr>
                <w:rFonts w:ascii="Aptos" w:hAnsi="Aptos" w:eastAsia="Microsoft YaHei"/>
                <w:color w:val="546E7A"/>
                <w:sz w:val="18"/>
              </w:rPr>
              <w:t>用于降维，不用于直接定案</w:t>
            </w:r>
          </w:p>
        </w:tc>
      </w:tr>
      <w:tr>
        <w:trPr>
          <w:cantSplit/>
        </w:trPr>
        <w:tc>
          <w:tcPr>
            <w:tcW w:w="2100" w:type="dxa"/>
          </w:tcPr>
          <w:p>
            <w:pPr>
              <w:spacing w:before="80" w:after="80" w:line="300" w:lineRule="auto"/>
              <w:ind w:firstLine="0"/>
            </w:pPr>
            <w:r>
              <w:rPr>
                <w:rFonts w:ascii="Aptos" w:hAnsi="Aptos" w:eastAsia="Microsoft YaHei"/>
                <w:color w:val="546E7A"/>
                <w:sz w:val="18"/>
              </w:rPr>
              <w:t>LHS＋Kriging＋NSGA-II</w:t>
            </w:r>
          </w:p>
        </w:tc>
        <w:tc>
          <w:tcPr>
            <w:tcW w:w="2500" w:type="dxa"/>
          </w:tcPr>
          <w:p>
            <w:pPr>
              <w:spacing w:before="80" w:after="80" w:line="300" w:lineRule="auto"/>
              <w:ind w:firstLine="0"/>
            </w:pPr>
            <w:r>
              <w:rPr>
                <w:rFonts w:ascii="Aptos" w:hAnsi="Aptos" w:eastAsia="Microsoft YaHei"/>
                <w:color w:val="546E7A"/>
                <w:sz w:val="18"/>
              </w:rPr>
              <w:t>全局探索、Pareto前沿</w:t>
            </w:r>
          </w:p>
        </w:tc>
        <w:tc>
          <w:tcPr>
            <w:tcW w:w="1100" w:type="dxa"/>
          </w:tcPr>
          <w:p>
            <w:pPr>
              <w:spacing w:before="80" w:after="80" w:line="300" w:lineRule="auto"/>
              <w:ind w:firstLine="0"/>
            </w:pPr>
            <w:r>
              <w:rPr>
                <w:rFonts w:ascii="Aptos" w:hAnsi="Aptos" w:eastAsia="Microsoft YaHei"/>
                <w:color w:val="546E7A"/>
                <w:sz w:val="18"/>
              </w:rPr>
              <w:t>中高</w:t>
            </w:r>
          </w:p>
        </w:tc>
        <w:tc>
          <w:tcPr>
            <w:tcW w:w="2300" w:type="dxa"/>
          </w:tcPr>
          <w:p>
            <w:pPr>
              <w:spacing w:before="80" w:after="80" w:line="300" w:lineRule="auto"/>
              <w:ind w:firstLine="0"/>
            </w:pPr>
            <w:r>
              <w:rPr>
                <w:rFonts w:ascii="Aptos" w:hAnsi="Aptos" w:eastAsia="Microsoft YaHei"/>
                <w:color w:val="546E7A"/>
                <w:sz w:val="18"/>
              </w:rPr>
              <w:t>前期样本成本高，代理模型可能失准</w:t>
            </w:r>
          </w:p>
        </w:tc>
        <w:tc>
          <w:tcPr>
            <w:tcW w:w="2200" w:type="dxa"/>
          </w:tcPr>
          <w:p>
            <w:pPr>
              <w:spacing w:before="80" w:after="80" w:line="300" w:lineRule="auto"/>
              <w:ind w:firstLine="0"/>
            </w:pPr>
            <w:r>
              <w:rPr>
                <w:rFonts w:ascii="Aptos" w:hAnsi="Aptos" w:eastAsia="Microsoft YaHei"/>
                <w:color w:val="546E7A"/>
                <w:sz w:val="18"/>
              </w:rPr>
              <w:t>作为全局探索模式</w:t>
            </w:r>
          </w:p>
        </w:tc>
      </w:tr>
      <w:tr>
        <w:trPr>
          <w:cantSplit/>
        </w:trPr>
        <w:tc>
          <w:tcPr>
            <w:tcW w:w="2100" w:type="dxa"/>
          </w:tcPr>
          <w:p>
            <w:pPr>
              <w:spacing w:before="80" w:after="80" w:line="300" w:lineRule="auto"/>
              <w:ind w:firstLine="0"/>
            </w:pPr>
            <w:r>
              <w:rPr>
                <w:rFonts w:ascii="Aptos" w:hAnsi="Aptos" w:eastAsia="Microsoft YaHei"/>
                <w:color w:val="546E7A"/>
                <w:sz w:val="18"/>
              </w:rPr>
              <w:t>约束贝叶斯/主动学习</w:t>
            </w:r>
          </w:p>
        </w:tc>
        <w:tc>
          <w:tcPr>
            <w:tcW w:w="2500" w:type="dxa"/>
          </w:tcPr>
          <w:p>
            <w:pPr>
              <w:spacing w:before="80" w:after="80" w:line="300" w:lineRule="auto"/>
              <w:ind w:firstLine="0"/>
            </w:pPr>
            <w:r>
              <w:rPr>
                <w:rFonts w:ascii="Aptos" w:hAnsi="Aptos" w:eastAsia="Microsoft YaHei"/>
                <w:color w:val="546E7A"/>
                <w:sz w:val="18"/>
              </w:rPr>
              <w:t>快速找到满足约束的可行解</w:t>
            </w:r>
          </w:p>
        </w:tc>
        <w:tc>
          <w:tcPr>
            <w:tcW w:w="1100" w:type="dxa"/>
          </w:tcPr>
          <w:p>
            <w:pPr>
              <w:spacing w:before="80" w:after="80" w:line="300" w:lineRule="auto"/>
              <w:ind w:firstLine="0"/>
            </w:pPr>
            <w:r>
              <w:rPr>
                <w:rFonts w:ascii="Aptos" w:hAnsi="Aptos" w:eastAsia="Microsoft YaHei"/>
                <w:color w:val="546E7A"/>
                <w:sz w:val="18"/>
              </w:rPr>
              <w:t>高</w:t>
            </w:r>
          </w:p>
        </w:tc>
        <w:tc>
          <w:tcPr>
            <w:tcW w:w="2300" w:type="dxa"/>
          </w:tcPr>
          <w:p>
            <w:pPr>
              <w:spacing w:before="80" w:after="80" w:line="300" w:lineRule="auto"/>
              <w:ind w:firstLine="0"/>
            </w:pPr>
            <w:r>
              <w:rPr>
                <w:rFonts w:ascii="Aptos" w:hAnsi="Aptos" w:eastAsia="Microsoft YaHei"/>
                <w:color w:val="546E7A"/>
                <w:sz w:val="18"/>
              </w:rPr>
              <w:t>多目标和离散变量实现复杂</w:t>
            </w:r>
          </w:p>
        </w:tc>
        <w:tc>
          <w:tcPr>
            <w:tcW w:w="2200" w:type="dxa"/>
          </w:tcPr>
          <w:p>
            <w:pPr>
              <w:spacing w:before="80" w:after="80" w:line="300" w:lineRule="auto"/>
              <w:ind w:firstLine="0"/>
            </w:pPr>
            <w:r>
              <w:rPr>
                <w:rFonts w:ascii="Aptos" w:hAnsi="Aptos" w:eastAsia="Microsoft YaHei"/>
                <w:color w:val="546E7A"/>
                <w:sz w:val="18"/>
              </w:rPr>
              <w:t>推荐默认模式</w:t>
            </w:r>
          </w:p>
        </w:tc>
      </w:tr>
      <w:tr>
        <w:trPr>
          <w:cantSplit/>
        </w:trPr>
        <w:tc>
          <w:tcPr>
            <w:tcW w:w="2100" w:type="dxa"/>
          </w:tcPr>
          <w:p>
            <w:pPr>
              <w:spacing w:before="80" w:after="80" w:line="300" w:lineRule="auto"/>
              <w:ind w:firstLine="0"/>
            </w:pPr>
            <w:r>
              <w:rPr>
                <w:rFonts w:ascii="Aptos" w:hAnsi="Aptos" w:eastAsia="Microsoft YaHei"/>
                <w:color w:val="546E7A"/>
                <w:sz w:val="18"/>
              </w:rPr>
              <w:t>直接GA/PSO调用求解器</w:t>
            </w:r>
          </w:p>
        </w:tc>
        <w:tc>
          <w:tcPr>
            <w:tcW w:w="2500" w:type="dxa"/>
          </w:tcPr>
          <w:p>
            <w:pPr>
              <w:spacing w:before="80" w:after="80" w:line="300" w:lineRule="auto"/>
              <w:ind w:firstLine="0"/>
            </w:pPr>
            <w:r>
              <w:rPr>
                <w:rFonts w:ascii="Aptos" w:hAnsi="Aptos" w:eastAsia="Microsoft YaHei"/>
                <w:color w:val="546E7A"/>
                <w:sz w:val="18"/>
              </w:rPr>
              <w:t>小维度、单次仿真很快的场景</w:t>
            </w:r>
          </w:p>
        </w:tc>
        <w:tc>
          <w:tcPr>
            <w:tcW w:w="1100" w:type="dxa"/>
          </w:tcPr>
          <w:p>
            <w:pPr>
              <w:spacing w:before="80" w:after="80" w:line="300" w:lineRule="auto"/>
              <w:ind w:firstLine="0"/>
            </w:pPr>
            <w:r>
              <w:rPr>
                <w:rFonts w:ascii="Aptos" w:hAnsi="Aptos" w:eastAsia="Microsoft YaHei"/>
                <w:color w:val="546E7A"/>
                <w:sz w:val="18"/>
              </w:rPr>
              <w:t>低</w:t>
            </w:r>
          </w:p>
        </w:tc>
        <w:tc>
          <w:tcPr>
            <w:tcW w:w="2300" w:type="dxa"/>
          </w:tcPr>
          <w:p>
            <w:pPr>
              <w:spacing w:before="80" w:after="80" w:line="300" w:lineRule="auto"/>
              <w:ind w:firstLine="0"/>
            </w:pPr>
            <w:r>
              <w:rPr>
                <w:rFonts w:ascii="Aptos" w:hAnsi="Aptos" w:eastAsia="Microsoft YaHei"/>
                <w:color w:val="546E7A"/>
                <w:sz w:val="18"/>
              </w:rPr>
              <w:t>仿真次数失控</w:t>
            </w:r>
          </w:p>
        </w:tc>
        <w:tc>
          <w:tcPr>
            <w:tcW w:w="2200" w:type="dxa"/>
          </w:tcPr>
          <w:p>
            <w:pPr>
              <w:spacing w:before="80" w:after="80" w:line="300" w:lineRule="auto"/>
              <w:ind w:firstLine="0"/>
            </w:pPr>
            <w:r>
              <w:rPr>
                <w:rFonts w:ascii="Aptos" w:hAnsi="Aptos" w:eastAsia="Microsoft YaHei"/>
                <w:color w:val="546E7A"/>
                <w:sz w:val="18"/>
              </w:rPr>
              <w:t>不建议默认使用</w:t>
            </w:r>
          </w:p>
        </w:tc>
      </w:tr>
      <w:tr>
        <w:trPr>
          <w:cantSplit/>
        </w:trPr>
        <w:tc>
          <w:tcPr>
            <w:tcW w:w="2100" w:type="dxa"/>
          </w:tcPr>
          <w:p>
            <w:pPr>
              <w:spacing w:before="80" w:after="80" w:line="300" w:lineRule="auto"/>
              <w:ind w:firstLine="0"/>
            </w:pPr>
            <w:r>
              <w:rPr>
                <w:rFonts w:ascii="Aptos" w:hAnsi="Aptos" w:eastAsia="Microsoft YaHei"/>
                <w:color w:val="546E7A"/>
                <w:sz w:val="18"/>
              </w:rPr>
              <w:t>optiSLang MOP/AMOP</w:t>
            </w:r>
          </w:p>
        </w:tc>
        <w:tc>
          <w:tcPr>
            <w:tcW w:w="2500" w:type="dxa"/>
          </w:tcPr>
          <w:p>
            <w:pPr>
              <w:spacing w:before="80" w:after="80" w:line="300" w:lineRule="auto"/>
              <w:ind w:firstLine="0"/>
            </w:pPr>
            <w:r>
              <w:rPr>
                <w:rFonts w:ascii="Aptos" w:hAnsi="Aptos" w:eastAsia="Microsoft YaHei"/>
                <w:color w:val="546E7A"/>
                <w:sz w:val="18"/>
              </w:rPr>
              <w:t>工业级DoE、代理模型和鲁棒性分析</w:t>
            </w:r>
          </w:p>
        </w:tc>
        <w:tc>
          <w:tcPr>
            <w:tcW w:w="1100" w:type="dxa"/>
          </w:tcPr>
          <w:p>
            <w:pPr>
              <w:spacing w:before="80" w:after="80" w:line="300" w:lineRule="auto"/>
              <w:ind w:firstLine="0"/>
            </w:pPr>
            <w:r>
              <w:rPr>
                <w:rFonts w:ascii="Aptos" w:hAnsi="Aptos" w:eastAsia="Microsoft YaHei"/>
                <w:color w:val="546E7A"/>
                <w:sz w:val="18"/>
              </w:rPr>
              <w:t>高</w:t>
            </w:r>
          </w:p>
        </w:tc>
        <w:tc>
          <w:tcPr>
            <w:tcW w:w="2300" w:type="dxa"/>
          </w:tcPr>
          <w:p>
            <w:pPr>
              <w:spacing w:before="80" w:after="80" w:line="300" w:lineRule="auto"/>
              <w:ind w:firstLine="0"/>
            </w:pPr>
            <w:r>
              <w:rPr>
                <w:rFonts w:ascii="Aptos" w:hAnsi="Aptos" w:eastAsia="Microsoft YaHei"/>
                <w:color w:val="546E7A"/>
                <w:sz w:val="18"/>
              </w:rPr>
              <w:t>许可与系统集成成本</w:t>
            </w:r>
          </w:p>
        </w:tc>
        <w:tc>
          <w:tcPr>
            <w:tcW w:w="2200" w:type="dxa"/>
          </w:tcPr>
          <w:p>
            <w:pPr>
              <w:spacing w:before="80" w:after="80" w:line="300" w:lineRule="auto"/>
              <w:ind w:firstLine="0"/>
            </w:pPr>
            <w:r>
              <w:rPr>
                <w:rFonts w:ascii="Aptos" w:hAnsi="Aptos" w:eastAsia="Microsoft YaHei"/>
                <w:color w:val="546E7A"/>
                <w:sz w:val="18"/>
              </w:rPr>
              <w:t>可作为商业基准或高级后端</w:t>
            </w:r>
          </w:p>
        </w:tc>
      </w:tr>
      <w:tr>
        <w:trPr>
          <w:cantSplit/>
        </w:trPr>
        <w:tc>
          <w:tcPr>
            <w:tcW w:w="2100" w:type="dxa"/>
          </w:tcPr>
          <w:p>
            <w:pPr>
              <w:spacing w:before="80" w:after="80" w:line="300" w:lineRule="auto"/>
              <w:ind w:firstLine="0"/>
            </w:pPr>
            <w:r>
              <w:rPr>
                <w:rFonts w:ascii="Aptos" w:hAnsi="Aptos" w:eastAsia="Microsoft YaHei"/>
                <w:color w:val="546E7A"/>
                <w:sz w:val="18"/>
              </w:rPr>
              <w:t>多保真度＋跨工具校准</w:t>
            </w:r>
          </w:p>
        </w:tc>
        <w:tc>
          <w:tcPr>
            <w:tcW w:w="2500" w:type="dxa"/>
          </w:tcPr>
          <w:p>
            <w:pPr>
              <w:spacing w:before="80" w:after="80" w:line="300" w:lineRule="auto"/>
              <w:ind w:firstLine="0"/>
            </w:pPr>
            <w:r>
              <w:rPr>
                <w:rFonts w:ascii="Aptos" w:hAnsi="Aptos" w:eastAsia="Microsoft YaHei"/>
                <w:color w:val="546E7A"/>
                <w:sz w:val="18"/>
              </w:rPr>
              <w:t>最终工程可信设计</w:t>
            </w:r>
          </w:p>
        </w:tc>
        <w:tc>
          <w:tcPr>
            <w:tcW w:w="1100" w:type="dxa"/>
          </w:tcPr>
          <w:p>
            <w:pPr>
              <w:spacing w:before="80" w:after="80" w:line="300" w:lineRule="auto"/>
              <w:ind w:firstLine="0"/>
            </w:pPr>
            <w:r>
              <w:rPr>
                <w:rFonts w:ascii="Aptos" w:hAnsi="Aptos" w:eastAsia="Microsoft YaHei"/>
                <w:color w:val="546E7A"/>
                <w:sz w:val="18"/>
              </w:rPr>
              <w:t>综合最高</w:t>
            </w:r>
          </w:p>
        </w:tc>
        <w:tc>
          <w:tcPr>
            <w:tcW w:w="2300" w:type="dxa"/>
          </w:tcPr>
          <w:p>
            <w:pPr>
              <w:spacing w:before="80" w:after="80" w:line="300" w:lineRule="auto"/>
              <w:ind w:firstLine="0"/>
            </w:pPr>
            <w:r>
              <w:rPr>
                <w:rFonts w:ascii="Aptos" w:hAnsi="Aptos" w:eastAsia="Microsoft YaHei"/>
                <w:color w:val="546E7A"/>
                <w:sz w:val="18"/>
              </w:rPr>
              <w:t>流程与数据管理复杂</w:t>
            </w:r>
          </w:p>
        </w:tc>
        <w:tc>
          <w:tcPr>
            <w:tcW w:w="2200" w:type="dxa"/>
          </w:tcPr>
          <w:p>
            <w:pPr>
              <w:spacing w:before="80" w:after="80" w:line="300" w:lineRule="auto"/>
              <w:ind w:firstLine="0"/>
            </w:pPr>
            <w:r>
              <w:rPr>
                <w:rFonts w:ascii="Aptos" w:hAnsi="Aptos" w:eastAsia="Microsoft YaHei"/>
                <w:color w:val="546E7A"/>
                <w:sz w:val="18"/>
              </w:rPr>
              <w:t>作为系统主骨架</w:t>
            </w:r>
          </w:p>
        </w:tc>
      </w:tr>
      <w:tr>
        <w:trPr>
          <w:cantSplit/>
        </w:trPr>
        <w:tc>
          <w:tcPr>
            <w:tcW w:w="2100" w:type="dxa"/>
          </w:tcPr>
          <w:p>
            <w:pPr>
              <w:spacing w:before="80" w:after="80" w:line="300" w:lineRule="auto"/>
              <w:ind w:firstLine="0"/>
            </w:pPr>
            <w:r>
              <w:rPr>
                <w:rFonts w:ascii="Aptos" w:hAnsi="Aptos" w:eastAsia="Microsoft YaHei"/>
                <w:color w:val="546E7A"/>
                <w:sz w:val="18"/>
              </w:rPr>
              <w:t>鲁棒性/可靠性优化</w:t>
            </w:r>
          </w:p>
        </w:tc>
        <w:tc>
          <w:tcPr>
            <w:tcW w:w="2500" w:type="dxa"/>
          </w:tcPr>
          <w:p>
            <w:pPr>
              <w:spacing w:before="80" w:after="80" w:line="300" w:lineRule="auto"/>
              <w:ind w:firstLine="0"/>
            </w:pPr>
            <w:r>
              <w:rPr>
                <w:rFonts w:ascii="Aptos" w:hAnsi="Aptos" w:eastAsia="Microsoft YaHei"/>
                <w:color w:val="546E7A"/>
                <w:sz w:val="18"/>
              </w:rPr>
              <w:t>量产、公差、材料波动</w:t>
            </w:r>
          </w:p>
        </w:tc>
        <w:tc>
          <w:tcPr>
            <w:tcW w:w="1100" w:type="dxa"/>
          </w:tcPr>
          <w:p>
            <w:pPr>
              <w:spacing w:before="80" w:after="80" w:line="300" w:lineRule="auto"/>
              <w:ind w:firstLine="0"/>
            </w:pPr>
            <w:r>
              <w:rPr>
                <w:rFonts w:ascii="Aptos" w:hAnsi="Aptos" w:eastAsia="Microsoft YaHei"/>
                <w:color w:val="546E7A"/>
                <w:sz w:val="18"/>
              </w:rPr>
              <w:t>中</w:t>
            </w:r>
          </w:p>
        </w:tc>
        <w:tc>
          <w:tcPr>
            <w:tcW w:w="2300" w:type="dxa"/>
          </w:tcPr>
          <w:p>
            <w:pPr>
              <w:spacing w:before="80" w:after="80" w:line="300" w:lineRule="auto"/>
              <w:ind w:firstLine="0"/>
            </w:pPr>
            <w:r>
              <w:rPr>
                <w:rFonts w:ascii="Aptos" w:hAnsi="Aptos" w:eastAsia="Microsoft YaHei"/>
                <w:color w:val="546E7A"/>
                <w:sz w:val="18"/>
              </w:rPr>
              <w:t>计算预算增加</w:t>
            </w:r>
          </w:p>
        </w:tc>
        <w:tc>
          <w:tcPr>
            <w:tcW w:w="2200" w:type="dxa"/>
          </w:tcPr>
          <w:p>
            <w:pPr>
              <w:spacing w:before="80" w:after="80" w:line="300" w:lineRule="auto"/>
              <w:ind w:firstLine="0"/>
            </w:pPr>
            <w:r>
              <w:rPr>
                <w:rFonts w:ascii="Aptos" w:hAnsi="Aptos" w:eastAsia="Microsoft YaHei"/>
                <w:color w:val="546E7A"/>
                <w:sz w:val="18"/>
              </w:rPr>
              <w:t>作为最终验收前必经步骤</w:t>
            </w:r>
          </w:p>
        </w:tc>
      </w:tr>
    </w:tbl>
    <w:p>
      <w:pPr>
        <w:pStyle w:val="Heading2"/>
      </w:pPr>
      <w:r>
        <w:t>3.2 高效路径的选择结论</w:t>
      </w:r>
    </w:p>
    <w:p>
      <w:r>
        <w:t>若目标是“快速得到一个满足边界条件的方案”，推荐路径是解析预筛选＋少量初始样本＋约束贝叶斯/主动学习＋局部信任域收敛＋高保真验证。该路径把计算预算集中到可行域附近，通常比先完整训练全局代理模型更节省仿真次数。</w:t>
      </w:r>
    </w:p>
    <w:p>
      <w:r>
        <w:t>Ansys官方电机优化资料也将工业流程归纳为灵敏度分析、代理模型、优化和最终验证四个环节；这说明附件的代理优化框架方向正确，但该框架更应被定位为完整设计空间探索，而不是所有项目的唯一默认路径。</w:t>
      </w:r>
      <w:r>
        <w:rPr>
          <w:vertAlign w:val="superscript"/>
        </w:rPr>
        <w:footnoteReference w:id="1"/>
      </w:r>
    </w:p>
    <w:p>
      <w:r>
        <w:t>对于PCB轴向磁通电机，2026年发表的双转子PCB-AH-PMSM研究采用了LHS采样、全局灵敏度分析、Kriging响应面、PSO多目标优化和FEA对比验证，说明LHS＋代理模型＋智能优化在该类电机上具有直接可参考性。但该论文目标偏向多目标性能改进，并不等同于本系统所需的快速可行性收敛。</w:t>
      </w:r>
      <w:r>
        <w:rPr>
          <w:vertAlign w:val="superscript"/>
        </w:rPr>
        <w:footnoteReference w:id="2"/>
      </w:r>
    </w:p>
    <w:p>
      <w:r>
        <w:t>贝叶斯优化的优势在于用少量初始点建立概率代理模型，通过采集函数平衡“利用已知优区”和“探索高不确定区”，每次真实仿真后更新模型。该机制非常适合Motor-CAD这类有一定求解成本、又需要快速收敛到可行区域的工程场景。</w:t>
      </w:r>
      <w:r>
        <w:rPr>
          <w:vertAlign w:val="superscript"/>
        </w:rPr>
        <w:footnoteReference w:id="3"/>
      </w:r>
    </w:p>
    <w:p>
      <w:pPr>
        <w:pStyle w:val="Heading1"/>
      </w:pPr>
      <w:r>
        <w:t>四、推荐的多保真度闭环仿真路径</w:t>
      </w:r>
      <w:bookmarkStart w:name="_Toc004" w:id="28097"/>
      <w:bookmarkEnd w:id="28097"/>
    </w:p>
    <w:p>
      <w:r>
        <w:t>建议将系统的仿真主路径定义为“多保真度、可行性优先、批量自适应闭环”。其中，Motor-CAD负责快速收敛主要参数并完成初步验证，Maxwell或JMAG负责对少量候选方案做高保真校核和模型校准。</w:t>
      </w:r>
    </w:p>
    <w:p>
      <w:pPr>
        <w:keepNext/>
        <w:spacing w:before="200" w:after="80"/>
        <w:ind w:firstLine="0"/>
        <w:jc w:val="center"/>
      </w:pPr>
      <w:r>
        <w:drawing>
          <wp:inline distT="0" distB="0" distL="0" distR="0">
            <wp:extent cx="5760000" cy="3538285"/>
            <wp:effectExtent l="0" t="0" r="0" b="0"/>
            <wp:docPr id="2" name="RecommendedFlow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RecommendedFlow.png"/>
                    <pic:cNvPicPr/>
                  </pic:nvPicPr>
                  <pic:blipFill>
                    <a:blip r:embed="R518bda465b634ca3"/>
                    <a:stretch>
                      <a:fillRect/>
                    </a:stretch>
                  </pic:blipFill>
                  <pic:spPr>
                    <a:xfrm>
                      <a:off x="0" y="0"/>
                      <a:ext cx="5760000" cy="3538285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Caption"/>
      </w:pPr>
      <w:r>
        <w:t>图1：推荐的多保真度闭环仿真路径</w:t>
      </w:r>
    </w:p>
    <w:p>
      <w:pPr>
        <w:pStyle w:val="Heading2"/>
      </w:pPr>
      <w:r>
        <w:t>4.1 保真度分级</w:t>
      </w:r>
    </w:p>
    <w:tbl>
      <w:tblPr>
        <w:tblW w:w="5000" w:type="pct"/>
        <w:tblBorders>
          <w:top w:val="single" w:color="263238" w:sz="12"/>
          <w:left w:val="nil"/>
          <w:bottom w:val="single" w:color="263238" w:sz="12"/>
          <w:right w:val="nil"/>
          <w:insideH w:val="single" w:color="CFD8DC" w:sz="4"/>
          <w:insideV w:val="nil"/>
        </w:tblBorders>
      </w:tblPr>
      <w:tblGrid>
        <w:gridCol w:w="900"/>
        <w:gridCol w:w="2200"/>
        <w:gridCol w:w="3300"/>
        <w:gridCol w:w="2500"/>
        <w:gridCol w:w="1200"/>
      </w:tblGrid>
      <w:tr>
        <w:trPr>
          <w:cantSplit/>
          <w:tblHeader/>
        </w:trPr>
        <w:tc>
          <w:tcPr>
            <w:tcW w:w="900" w:type="dxa"/>
            <w:shd w:val="clear" w:fill="ECEFF1"/>
          </w:tcPr>
          <w:p>
            <w:pPr>
              <w:spacing w:before="80" w:after="80" w:line="300" w:lineRule="auto"/>
              <w:ind w:firstLine="0"/>
            </w:pPr>
            <w:r>
              <w:rPr>
                <w:rFonts w:ascii="Aptos" w:hAnsi="Aptos" w:eastAsia="Microsoft YaHei"/>
                <w:b/>
                <w:color w:val="263238"/>
                <w:sz w:val="19"/>
              </w:rPr>
              <w:t>层级</w:t>
            </w:r>
          </w:p>
        </w:tc>
        <w:tc>
          <w:tcPr>
            <w:tcW w:w="2200" w:type="dxa"/>
            <w:shd w:val="clear" w:fill="ECEFF1"/>
          </w:tcPr>
          <w:p>
            <w:pPr>
              <w:spacing w:before="80" w:after="80" w:line="300" w:lineRule="auto"/>
              <w:ind w:firstLine="0"/>
            </w:pPr>
            <w:r>
              <w:rPr>
                <w:rFonts w:ascii="Aptos" w:hAnsi="Aptos" w:eastAsia="Microsoft YaHei"/>
                <w:b/>
                <w:color w:val="263238"/>
                <w:sz w:val="19"/>
              </w:rPr>
              <w:t>模型/工具</w:t>
            </w:r>
          </w:p>
        </w:tc>
        <w:tc>
          <w:tcPr>
            <w:tcW w:w="3300" w:type="dxa"/>
            <w:shd w:val="clear" w:fill="ECEFF1"/>
          </w:tcPr>
          <w:p>
            <w:pPr>
              <w:spacing w:before="80" w:after="80" w:line="300" w:lineRule="auto"/>
              <w:ind w:firstLine="0"/>
            </w:pPr>
            <w:r>
              <w:rPr>
                <w:rFonts w:ascii="Aptos" w:hAnsi="Aptos" w:eastAsia="Microsoft YaHei"/>
                <w:b/>
                <w:color w:val="263238"/>
                <w:sz w:val="19"/>
              </w:rPr>
              <w:t>主要任务</w:t>
            </w:r>
          </w:p>
        </w:tc>
        <w:tc>
          <w:tcPr>
            <w:tcW w:w="2500" w:type="dxa"/>
            <w:shd w:val="clear" w:fill="ECEFF1"/>
          </w:tcPr>
          <w:p>
            <w:pPr>
              <w:spacing w:before="80" w:after="80" w:line="300" w:lineRule="auto"/>
              <w:ind w:firstLine="0"/>
            </w:pPr>
            <w:r>
              <w:rPr>
                <w:rFonts w:ascii="Aptos" w:hAnsi="Aptos" w:eastAsia="Microsoft YaHei"/>
                <w:b/>
                <w:color w:val="263238"/>
                <w:sz w:val="19"/>
              </w:rPr>
              <w:t>典型输出</w:t>
            </w:r>
          </w:p>
        </w:tc>
        <w:tc>
          <w:tcPr>
            <w:tcW w:w="1200" w:type="dxa"/>
            <w:shd w:val="clear" w:fill="ECEFF1"/>
          </w:tcPr>
          <w:p>
            <w:pPr>
              <w:spacing w:before="80" w:after="80" w:line="300" w:lineRule="auto"/>
              <w:ind w:firstLine="0"/>
            </w:pPr>
            <w:r>
              <w:rPr>
                <w:rFonts w:ascii="Aptos" w:hAnsi="Aptos" w:eastAsia="Microsoft YaHei"/>
                <w:b/>
                <w:color w:val="263238"/>
                <w:sz w:val="19"/>
              </w:rPr>
              <w:t>是否可定案</w:t>
            </w:r>
          </w:p>
        </w:tc>
      </w:tr>
      <w:tr>
        <w:trPr>
          <w:cantSplit/>
        </w:trPr>
        <w:tc>
          <w:tcPr>
            <w:tcW w:w="900" w:type="dxa"/>
          </w:tcPr>
          <w:p>
            <w:pPr>
              <w:spacing w:before="80" w:after="80" w:line="300" w:lineRule="auto"/>
              <w:ind w:firstLine="0"/>
            </w:pPr>
            <w:r>
              <w:rPr>
                <w:rFonts w:ascii="Aptos" w:hAnsi="Aptos" w:eastAsia="Microsoft YaHei"/>
                <w:color w:val="546E7A"/>
                <w:sz w:val="18"/>
              </w:rPr>
              <w:t>L0</w:t>
            </w:r>
          </w:p>
        </w:tc>
        <w:tc>
          <w:tcPr>
            <w:tcW w:w="2200" w:type="dxa"/>
          </w:tcPr>
          <w:p>
            <w:pPr>
              <w:spacing w:before="80" w:after="80" w:line="300" w:lineRule="auto"/>
              <w:ind w:firstLine="0"/>
            </w:pPr>
            <w:r>
              <w:rPr>
                <w:rFonts w:ascii="Aptos" w:hAnsi="Aptos" w:eastAsia="Microsoft YaHei"/>
                <w:color w:val="546E7A"/>
                <w:sz w:val="18"/>
              </w:rPr>
              <w:t>解析公式＋规则引擎</w:t>
            </w:r>
          </w:p>
        </w:tc>
        <w:tc>
          <w:tcPr>
            <w:tcW w:w="3300" w:type="dxa"/>
          </w:tcPr>
          <w:p>
            <w:pPr>
              <w:spacing w:before="80" w:after="80" w:line="300" w:lineRule="auto"/>
              <w:ind w:firstLine="0"/>
            </w:pPr>
            <w:r>
              <w:rPr>
                <w:rFonts w:ascii="Aptos" w:hAnsi="Aptos" w:eastAsia="Microsoft YaHei"/>
                <w:color w:val="546E7A"/>
                <w:sz w:val="18"/>
              </w:rPr>
              <w:t>几何、电气、热、制造可行性预筛选</w:t>
            </w:r>
          </w:p>
        </w:tc>
        <w:tc>
          <w:tcPr>
            <w:tcW w:w="2500" w:type="dxa"/>
          </w:tcPr>
          <w:p>
            <w:pPr>
              <w:spacing w:before="80" w:after="80" w:line="300" w:lineRule="auto"/>
              <w:ind w:firstLine="0"/>
            </w:pPr>
            <w:r>
              <w:rPr>
                <w:rFonts w:ascii="Aptos" w:hAnsi="Aptos" w:eastAsia="Microsoft YaHei"/>
                <w:color w:val="546E7A"/>
                <w:sz w:val="18"/>
              </w:rPr>
              <w:t>可行/不可行、风险项、初始参数范围</w:t>
            </w:r>
          </w:p>
        </w:tc>
        <w:tc>
          <w:tcPr>
            <w:tcW w:w="1200" w:type="dxa"/>
          </w:tcPr>
          <w:p>
            <w:pPr>
              <w:spacing w:before="80" w:after="80" w:line="300" w:lineRule="auto"/>
              <w:ind w:firstLine="0"/>
            </w:pPr>
            <w:r>
              <w:rPr>
                <w:rFonts w:ascii="Aptos" w:hAnsi="Aptos" w:eastAsia="Microsoft YaHei"/>
                <w:color w:val="546E7A"/>
                <w:sz w:val="18"/>
              </w:rPr>
              <w:t>否</w:t>
            </w:r>
          </w:p>
        </w:tc>
      </w:tr>
      <w:tr>
        <w:trPr>
          <w:cantSplit/>
        </w:trPr>
        <w:tc>
          <w:tcPr>
            <w:tcW w:w="900" w:type="dxa"/>
          </w:tcPr>
          <w:p>
            <w:pPr>
              <w:spacing w:before="80" w:after="80" w:line="300" w:lineRule="auto"/>
              <w:ind w:firstLine="0"/>
            </w:pPr>
            <w:r>
              <w:rPr>
                <w:rFonts w:ascii="Aptos" w:hAnsi="Aptos" w:eastAsia="Microsoft YaHei"/>
                <w:color w:val="546E7A"/>
                <w:sz w:val="18"/>
              </w:rPr>
              <w:t>L1</w:t>
            </w:r>
          </w:p>
        </w:tc>
        <w:tc>
          <w:tcPr>
            <w:tcW w:w="2200" w:type="dxa"/>
          </w:tcPr>
          <w:p>
            <w:pPr>
              <w:spacing w:before="80" w:after="80" w:line="300" w:lineRule="auto"/>
              <w:ind w:firstLine="0"/>
            </w:pPr>
            <w:r>
              <w:rPr>
                <w:rFonts w:ascii="Aptos" w:hAnsi="Aptos" w:eastAsia="Microsoft YaHei"/>
                <w:color w:val="546E7A"/>
                <w:sz w:val="18"/>
              </w:rPr>
              <w:t>Motor-CAD快速电磁模型</w:t>
            </w:r>
          </w:p>
        </w:tc>
        <w:tc>
          <w:tcPr>
            <w:tcW w:w="3300" w:type="dxa"/>
          </w:tcPr>
          <w:p>
            <w:pPr>
              <w:spacing w:before="80" w:after="80" w:line="300" w:lineRule="auto"/>
              <w:ind w:firstLine="0"/>
            </w:pPr>
            <w:r>
              <w:rPr>
                <w:rFonts w:ascii="Aptos" w:hAnsi="Aptos" w:eastAsia="Microsoft YaHei"/>
                <w:color w:val="546E7A"/>
                <w:sz w:val="18"/>
              </w:rPr>
              <w:t>主要参数收敛、关键工况筛选、初步性能验证</w:t>
            </w:r>
          </w:p>
        </w:tc>
        <w:tc>
          <w:tcPr>
            <w:tcW w:w="2500" w:type="dxa"/>
          </w:tcPr>
          <w:p>
            <w:pPr>
              <w:spacing w:before="80" w:after="80" w:line="300" w:lineRule="auto"/>
              <w:ind w:firstLine="0"/>
            </w:pPr>
            <w:r>
              <w:rPr>
                <w:rFonts w:ascii="Aptos" w:hAnsi="Aptos" w:eastAsia="Microsoft YaHei"/>
                <w:color w:val="546E7A"/>
                <w:sz w:val="18"/>
              </w:rPr>
              <w:t>转矩、反电势、损耗、轴向力初值</w:t>
            </w:r>
          </w:p>
        </w:tc>
        <w:tc>
          <w:tcPr>
            <w:tcW w:w="1200" w:type="dxa"/>
          </w:tcPr>
          <w:p>
            <w:pPr>
              <w:spacing w:before="80" w:after="80" w:line="300" w:lineRule="auto"/>
              <w:ind w:firstLine="0"/>
            </w:pPr>
            <w:r>
              <w:rPr>
                <w:rFonts w:ascii="Aptos" w:hAnsi="Aptos" w:eastAsia="Microsoft YaHei"/>
                <w:color w:val="546E7A"/>
                <w:sz w:val="18"/>
              </w:rPr>
              <w:t>否</w:t>
            </w:r>
          </w:p>
        </w:tc>
      </w:tr>
      <w:tr>
        <w:trPr>
          <w:cantSplit/>
        </w:trPr>
        <w:tc>
          <w:tcPr>
            <w:tcW w:w="900" w:type="dxa"/>
          </w:tcPr>
          <w:p>
            <w:pPr>
              <w:spacing w:before="80" w:after="80" w:line="300" w:lineRule="auto"/>
              <w:ind w:firstLine="0"/>
            </w:pPr>
            <w:r>
              <w:rPr>
                <w:rFonts w:ascii="Aptos" w:hAnsi="Aptos" w:eastAsia="Microsoft YaHei"/>
                <w:color w:val="546E7A"/>
                <w:sz w:val="18"/>
              </w:rPr>
              <w:t>L2</w:t>
            </w:r>
          </w:p>
        </w:tc>
        <w:tc>
          <w:tcPr>
            <w:tcW w:w="2200" w:type="dxa"/>
          </w:tcPr>
          <w:p>
            <w:pPr>
              <w:spacing w:before="80" w:after="80" w:line="300" w:lineRule="auto"/>
              <w:ind w:firstLine="0"/>
            </w:pPr>
            <w:r>
              <w:rPr>
                <w:rFonts w:ascii="Aptos" w:hAnsi="Aptos" w:eastAsia="Microsoft YaHei"/>
                <w:color w:val="546E7A"/>
                <w:sz w:val="18"/>
              </w:rPr>
              <w:t>Motor-CAD Lab/Therm/Mech</w:t>
            </w:r>
          </w:p>
        </w:tc>
        <w:tc>
          <w:tcPr>
            <w:tcW w:w="3300" w:type="dxa"/>
          </w:tcPr>
          <w:p>
            <w:pPr>
              <w:spacing w:before="80" w:after="80" w:line="300" w:lineRule="auto"/>
              <w:ind w:firstLine="0"/>
            </w:pPr>
            <w:r>
              <w:rPr>
                <w:rFonts w:ascii="Aptos" w:hAnsi="Aptos" w:eastAsia="Microsoft YaHei"/>
                <w:color w:val="546E7A"/>
                <w:sz w:val="18"/>
              </w:rPr>
              <w:t>候选方案多物理场复核、效率图和温升初评</w:t>
            </w:r>
          </w:p>
        </w:tc>
        <w:tc>
          <w:tcPr>
            <w:tcW w:w="2500" w:type="dxa"/>
          </w:tcPr>
          <w:p>
            <w:pPr>
              <w:spacing w:before="80" w:after="80" w:line="300" w:lineRule="auto"/>
              <w:ind w:firstLine="0"/>
            </w:pPr>
            <w:r>
              <w:rPr>
                <w:rFonts w:ascii="Aptos" w:hAnsi="Aptos" w:eastAsia="Microsoft YaHei"/>
                <w:color w:val="546E7A"/>
                <w:sz w:val="18"/>
              </w:rPr>
              <w:t>效率图、温升、应力、工况边界</w:t>
            </w:r>
          </w:p>
        </w:tc>
        <w:tc>
          <w:tcPr>
            <w:tcW w:w="1200" w:type="dxa"/>
          </w:tcPr>
          <w:p>
            <w:pPr>
              <w:spacing w:before="80" w:after="80" w:line="300" w:lineRule="auto"/>
              <w:ind w:firstLine="0"/>
            </w:pPr>
            <w:r>
              <w:rPr>
                <w:rFonts w:ascii="Aptos" w:hAnsi="Aptos" w:eastAsia="Microsoft YaHei"/>
                <w:color w:val="546E7A"/>
                <w:sz w:val="18"/>
              </w:rPr>
              <w:t>仅作工程候选</w:t>
            </w:r>
          </w:p>
        </w:tc>
      </w:tr>
      <w:tr>
        <w:trPr>
          <w:cantSplit/>
        </w:trPr>
        <w:tc>
          <w:tcPr>
            <w:tcW w:w="900" w:type="dxa"/>
          </w:tcPr>
          <w:p>
            <w:pPr>
              <w:spacing w:before="80" w:after="80" w:line="300" w:lineRule="auto"/>
              <w:ind w:firstLine="0"/>
            </w:pPr>
            <w:r>
              <w:rPr>
                <w:rFonts w:ascii="Aptos" w:hAnsi="Aptos" w:eastAsia="Microsoft YaHei"/>
                <w:color w:val="546E7A"/>
                <w:sz w:val="18"/>
              </w:rPr>
              <w:t>L3</w:t>
            </w:r>
          </w:p>
        </w:tc>
        <w:tc>
          <w:tcPr>
            <w:tcW w:w="2200" w:type="dxa"/>
          </w:tcPr>
          <w:p>
            <w:pPr>
              <w:spacing w:before="80" w:after="80" w:line="300" w:lineRule="auto"/>
              <w:ind w:firstLine="0"/>
            </w:pPr>
            <w:r>
              <w:rPr>
                <w:rFonts w:ascii="Aptos" w:hAnsi="Aptos" w:eastAsia="Microsoft YaHei"/>
                <w:color w:val="546E7A"/>
                <w:sz w:val="18"/>
              </w:rPr>
              <w:t>Maxwell 3D / JMAG</w:t>
            </w:r>
          </w:p>
        </w:tc>
        <w:tc>
          <w:tcPr>
            <w:tcW w:w="3300" w:type="dxa"/>
          </w:tcPr>
          <w:p>
            <w:pPr>
              <w:spacing w:before="80" w:after="80" w:line="300" w:lineRule="auto"/>
              <w:ind w:firstLine="0"/>
            </w:pPr>
            <w:r>
              <w:rPr>
                <w:rFonts w:ascii="Aptos" w:hAnsi="Aptos" w:eastAsia="Microsoft YaHei"/>
                <w:color w:val="546E7A"/>
                <w:sz w:val="18"/>
              </w:rPr>
              <w:t>PCB绕组、3D磁路、端部效应、局部损耗和轴向力校验</w:t>
            </w:r>
          </w:p>
        </w:tc>
        <w:tc>
          <w:tcPr>
            <w:tcW w:w="2500" w:type="dxa"/>
          </w:tcPr>
          <w:p>
            <w:pPr>
              <w:spacing w:before="80" w:after="80" w:line="300" w:lineRule="auto"/>
              <w:ind w:firstLine="0"/>
            </w:pPr>
            <w:r>
              <w:rPr>
                <w:rFonts w:ascii="Aptos" w:hAnsi="Aptos" w:eastAsia="Microsoft YaHei"/>
                <w:color w:val="546E7A"/>
                <w:sz w:val="18"/>
              </w:rPr>
              <w:t>高保真电磁性能、损耗、力、场分布</w:t>
            </w:r>
          </w:p>
        </w:tc>
        <w:tc>
          <w:tcPr>
            <w:tcW w:w="1200" w:type="dxa"/>
          </w:tcPr>
          <w:p>
            <w:pPr>
              <w:spacing w:before="80" w:after="80" w:line="300" w:lineRule="auto"/>
              <w:ind w:firstLine="0"/>
            </w:pPr>
            <w:r>
              <w:rPr>
                <w:rFonts w:ascii="Aptos" w:hAnsi="Aptos" w:eastAsia="Microsoft YaHei"/>
                <w:color w:val="546E7A"/>
                <w:sz w:val="18"/>
              </w:rPr>
              <w:t>是，需通过验收阈值</w:t>
            </w:r>
          </w:p>
        </w:tc>
      </w:tr>
      <w:tr>
        <w:trPr>
          <w:cantSplit/>
        </w:trPr>
        <w:tc>
          <w:tcPr>
            <w:tcW w:w="900" w:type="dxa"/>
          </w:tcPr>
          <w:p>
            <w:pPr>
              <w:spacing w:before="80" w:after="80" w:line="300" w:lineRule="auto"/>
              <w:ind w:firstLine="0"/>
            </w:pPr>
            <w:r>
              <w:rPr>
                <w:rFonts w:ascii="Aptos" w:hAnsi="Aptos" w:eastAsia="Microsoft YaHei"/>
                <w:color w:val="546E7A"/>
                <w:sz w:val="18"/>
              </w:rPr>
              <w:t>L4</w:t>
            </w:r>
          </w:p>
        </w:tc>
        <w:tc>
          <w:tcPr>
            <w:tcW w:w="2200" w:type="dxa"/>
          </w:tcPr>
          <w:p>
            <w:pPr>
              <w:spacing w:before="80" w:after="80" w:line="300" w:lineRule="auto"/>
              <w:ind w:firstLine="0"/>
            </w:pPr>
            <w:r>
              <w:rPr>
                <w:rFonts w:ascii="Aptos" w:hAnsi="Aptos" w:eastAsia="Microsoft YaHei"/>
                <w:color w:val="546E7A"/>
                <w:sz w:val="18"/>
              </w:rPr>
              <w:t>扰动/公差/样机数据</w:t>
            </w:r>
          </w:p>
        </w:tc>
        <w:tc>
          <w:tcPr>
            <w:tcW w:w="3300" w:type="dxa"/>
          </w:tcPr>
          <w:p>
            <w:pPr>
              <w:spacing w:before="80" w:after="80" w:line="300" w:lineRule="auto"/>
              <w:ind w:firstLine="0"/>
            </w:pPr>
            <w:r>
              <w:rPr>
                <w:rFonts w:ascii="Aptos" w:hAnsi="Aptos" w:eastAsia="Microsoft YaHei"/>
                <w:color w:val="546E7A"/>
                <w:sz w:val="18"/>
              </w:rPr>
              <w:t>制造鲁棒性和模型持续校准</w:t>
            </w:r>
          </w:p>
        </w:tc>
        <w:tc>
          <w:tcPr>
            <w:tcW w:w="2500" w:type="dxa"/>
          </w:tcPr>
          <w:p>
            <w:pPr>
              <w:spacing w:before="80" w:after="80" w:line="300" w:lineRule="auto"/>
              <w:ind w:firstLine="0"/>
            </w:pPr>
            <w:r>
              <w:rPr>
                <w:rFonts w:ascii="Aptos" w:hAnsi="Aptos" w:eastAsia="Microsoft YaHei"/>
                <w:color w:val="546E7A"/>
                <w:sz w:val="18"/>
              </w:rPr>
              <w:t>最差工况、概率合格率、校准系数</w:t>
            </w:r>
          </w:p>
        </w:tc>
        <w:tc>
          <w:tcPr>
            <w:tcW w:w="1200" w:type="dxa"/>
          </w:tcPr>
          <w:p>
            <w:pPr>
              <w:spacing w:before="80" w:after="80" w:line="300" w:lineRule="auto"/>
              <w:ind w:firstLine="0"/>
            </w:pPr>
            <w:r>
              <w:rPr>
                <w:rFonts w:ascii="Aptos" w:hAnsi="Aptos" w:eastAsia="Microsoft YaHei"/>
                <w:color w:val="546E7A"/>
                <w:sz w:val="18"/>
              </w:rPr>
              <w:t>用于最终放行</w:t>
            </w:r>
          </w:p>
        </w:tc>
      </w:tr>
    </w:tbl>
    <w:p>
      <w:r>
        <w:t>Ansys在2026年的轴向磁通电机工作流中也强调：AFM具有天然三维磁路，完整3D FEA精度高但早期设计成本高，因此建议用Motor-CAD快速2D等效线性模型进行概念设计和拓扑筛选，再用Maxwell 3D进行验证、校准和效率图生成。这一官方路径与本文建议一致。</w:t>
      </w:r>
      <w:r>
        <w:rPr>
          <w:vertAlign w:val="superscript"/>
        </w:rPr>
        <w:footnoteReference w:id="4"/>
      </w:r>
    </w:p>
    <w:p>
      <w:r>
        <w:t>Motor-CAD本身包含EM、Therm、Lab、Mech四个集成模块，适合快速多物理场迭代；2026 R1还增强了AFM热模块、Lab支持、Maxwell-Lab联动、NVH力输出和多静态损耗分析等能力，但部分AFM能力仍属于Beta，需要在项目中做稳定性验证后再固化到默认流程。</w:t>
      </w:r>
      <w:r>
        <w:rPr>
          <w:vertAlign w:val="superscript"/>
        </w:rPr>
        <w:footnoteReference w:id="5"/>
      </w:r>
    </w:p>
    <w:p>
      <w:pPr>
        <w:pStyle w:val="Heading2"/>
      </w:pPr>
      <w:r>
        <w:t>4.2 三种运行模式</w:t>
      </w:r>
    </w:p>
    <w:tbl>
      <w:tblPr>
        <w:tblW w:w="5000" w:type="pct"/>
        <w:tblBorders>
          <w:top w:val="single" w:color="263238" w:sz="12"/>
          <w:left w:val="nil"/>
          <w:bottom w:val="single" w:color="263238" w:sz="12"/>
          <w:right w:val="nil"/>
          <w:insideH w:val="single" w:color="CFD8DC" w:sz="4"/>
          <w:insideV w:val="nil"/>
        </w:tblBorders>
      </w:tblPr>
      <w:tblGrid>
        <w:gridCol w:w="1800"/>
        <w:gridCol w:w="3000"/>
        <w:gridCol w:w="3200"/>
        <w:gridCol w:w="1500"/>
        <w:gridCol w:w="2200"/>
      </w:tblGrid>
      <w:tr>
        <w:trPr>
          <w:cantSplit/>
          <w:tblHeader/>
        </w:trPr>
        <w:tc>
          <w:tcPr>
            <w:tcW w:w="1800" w:type="dxa"/>
            <w:shd w:val="clear" w:fill="ECEFF1"/>
          </w:tcPr>
          <w:p>
            <w:pPr>
              <w:spacing w:before="80" w:after="80" w:line="300" w:lineRule="auto"/>
              <w:ind w:firstLine="0"/>
            </w:pPr>
            <w:r>
              <w:rPr>
                <w:rFonts w:ascii="Aptos" w:hAnsi="Aptos" w:eastAsia="Microsoft YaHei"/>
                <w:b/>
                <w:color w:val="263238"/>
                <w:sz w:val="19"/>
              </w:rPr>
              <w:t>模式</w:t>
            </w:r>
          </w:p>
        </w:tc>
        <w:tc>
          <w:tcPr>
            <w:tcW w:w="3000" w:type="dxa"/>
            <w:shd w:val="clear" w:fill="ECEFF1"/>
          </w:tcPr>
          <w:p>
            <w:pPr>
              <w:spacing w:before="80" w:after="80" w:line="300" w:lineRule="auto"/>
              <w:ind w:firstLine="0"/>
            </w:pPr>
            <w:r>
              <w:rPr>
                <w:rFonts w:ascii="Aptos" w:hAnsi="Aptos" w:eastAsia="Microsoft YaHei"/>
                <w:b/>
                <w:color w:val="263238"/>
                <w:sz w:val="19"/>
              </w:rPr>
              <w:t>触发条件</w:t>
            </w:r>
          </w:p>
        </w:tc>
        <w:tc>
          <w:tcPr>
            <w:tcW w:w="3200" w:type="dxa"/>
            <w:shd w:val="clear" w:fill="ECEFF1"/>
          </w:tcPr>
          <w:p>
            <w:pPr>
              <w:spacing w:before="80" w:after="80" w:line="300" w:lineRule="auto"/>
              <w:ind w:firstLine="0"/>
            </w:pPr>
            <w:r>
              <w:rPr>
                <w:rFonts w:ascii="Aptos" w:hAnsi="Aptos" w:eastAsia="Microsoft YaHei"/>
                <w:b/>
                <w:color w:val="263238"/>
                <w:sz w:val="19"/>
              </w:rPr>
              <w:t>核心算法</w:t>
            </w:r>
          </w:p>
        </w:tc>
        <w:tc>
          <w:tcPr>
            <w:tcW w:w="1500" w:type="dxa"/>
            <w:shd w:val="clear" w:fill="ECEFF1"/>
          </w:tcPr>
          <w:p>
            <w:pPr>
              <w:spacing w:before="80" w:after="80" w:line="300" w:lineRule="auto"/>
              <w:ind w:firstLine="0"/>
            </w:pPr>
            <w:r>
              <w:rPr>
                <w:rFonts w:ascii="Aptos" w:hAnsi="Aptos" w:eastAsia="Microsoft YaHei"/>
                <w:b/>
                <w:color w:val="263238"/>
                <w:sz w:val="19"/>
              </w:rPr>
              <w:t>典型预算</w:t>
            </w:r>
          </w:p>
        </w:tc>
        <w:tc>
          <w:tcPr>
            <w:tcW w:w="2200" w:type="dxa"/>
            <w:shd w:val="clear" w:fill="ECEFF1"/>
          </w:tcPr>
          <w:p>
            <w:pPr>
              <w:spacing w:before="80" w:after="80" w:line="300" w:lineRule="auto"/>
              <w:ind w:firstLine="0"/>
            </w:pPr>
            <w:r>
              <w:rPr>
                <w:rFonts w:ascii="Aptos" w:hAnsi="Aptos" w:eastAsia="Microsoft YaHei"/>
                <w:b/>
                <w:color w:val="263238"/>
                <w:sz w:val="19"/>
              </w:rPr>
              <w:t>输出</w:t>
            </w:r>
          </w:p>
        </w:tc>
      </w:tr>
      <w:tr>
        <w:trPr>
          <w:cantSplit/>
        </w:trPr>
        <w:tc>
          <w:tcPr>
            <w:tcW w:w="1800" w:type="dxa"/>
          </w:tcPr>
          <w:p>
            <w:pPr>
              <w:spacing w:before="80" w:after="80" w:line="300" w:lineRule="auto"/>
              <w:ind w:firstLine="0"/>
            </w:pPr>
            <w:r>
              <w:rPr>
                <w:rFonts w:ascii="Aptos" w:hAnsi="Aptos" w:eastAsia="Microsoft YaHei"/>
                <w:color w:val="546E7A"/>
                <w:sz w:val="18"/>
              </w:rPr>
              <w:t>快速可行模式（默认）</w:t>
            </w:r>
          </w:p>
        </w:tc>
        <w:tc>
          <w:tcPr>
            <w:tcW w:w="3000" w:type="dxa"/>
          </w:tcPr>
          <w:p>
            <w:pPr>
              <w:spacing w:before="80" w:after="80" w:line="300" w:lineRule="auto"/>
              <w:ind w:firstLine="0"/>
            </w:pPr>
            <w:r>
              <w:rPr>
                <w:rFonts w:ascii="Aptos" w:hAnsi="Aptos" w:eastAsia="Microsoft YaHei"/>
                <w:color w:val="546E7A"/>
                <w:sz w:val="18"/>
              </w:rPr>
              <w:t>用户要求尽快获得满足边界条件的方案</w:t>
            </w:r>
          </w:p>
        </w:tc>
        <w:tc>
          <w:tcPr>
            <w:tcW w:w="3200" w:type="dxa"/>
          </w:tcPr>
          <w:p>
            <w:pPr>
              <w:spacing w:before="80" w:after="80" w:line="300" w:lineRule="auto"/>
              <w:ind w:firstLine="0"/>
            </w:pPr>
            <w:r>
              <w:rPr>
                <w:rFonts w:ascii="Aptos" w:hAnsi="Aptos" w:eastAsia="Microsoft YaHei"/>
                <w:color w:val="546E7A"/>
                <w:sz w:val="18"/>
              </w:rPr>
              <w:t>L0预筛选＋少量LHS/历史种子＋约束贝叶斯/主动学习</w:t>
            </w:r>
          </w:p>
        </w:tc>
        <w:tc>
          <w:tcPr>
            <w:tcW w:w="1500" w:type="dxa"/>
          </w:tcPr>
          <w:p>
            <w:pPr>
              <w:spacing w:before="80" w:after="80" w:line="300" w:lineRule="auto"/>
              <w:ind w:firstLine="0"/>
            </w:pPr>
            <w:r>
              <w:rPr>
                <w:rFonts w:ascii="Aptos" w:hAnsi="Aptos" w:eastAsia="Microsoft YaHei"/>
                <w:color w:val="546E7A"/>
                <w:sz w:val="18"/>
              </w:rPr>
              <w:t>低到中等</w:t>
            </w:r>
          </w:p>
        </w:tc>
        <w:tc>
          <w:tcPr>
            <w:tcW w:w="2200" w:type="dxa"/>
          </w:tcPr>
          <w:p>
            <w:pPr>
              <w:spacing w:before="80" w:after="80" w:line="300" w:lineRule="auto"/>
              <w:ind w:firstLine="0"/>
            </w:pPr>
            <w:r>
              <w:rPr>
                <w:rFonts w:ascii="Aptos" w:hAnsi="Aptos" w:eastAsia="Microsoft YaHei"/>
                <w:color w:val="546E7A"/>
                <w:sz w:val="18"/>
              </w:rPr>
              <w:t>1～3个可行候选及置信度</w:t>
            </w:r>
          </w:p>
        </w:tc>
      </w:tr>
      <w:tr>
        <w:trPr>
          <w:cantSplit/>
        </w:trPr>
        <w:tc>
          <w:tcPr>
            <w:tcW w:w="1800" w:type="dxa"/>
          </w:tcPr>
          <w:p>
            <w:pPr>
              <w:spacing w:before="80" w:after="80" w:line="300" w:lineRule="auto"/>
              <w:ind w:firstLine="0"/>
            </w:pPr>
            <w:r>
              <w:rPr>
                <w:rFonts w:ascii="Aptos" w:hAnsi="Aptos" w:eastAsia="Microsoft YaHei"/>
                <w:color w:val="546E7A"/>
                <w:sz w:val="18"/>
              </w:rPr>
              <w:t>全局探索模式</w:t>
            </w:r>
          </w:p>
        </w:tc>
        <w:tc>
          <w:tcPr>
            <w:tcW w:w="3000" w:type="dxa"/>
          </w:tcPr>
          <w:p>
            <w:pPr>
              <w:spacing w:before="80" w:after="80" w:line="300" w:lineRule="auto"/>
              <w:ind w:firstLine="0"/>
            </w:pPr>
            <w:r>
              <w:rPr>
                <w:rFonts w:ascii="Aptos" w:hAnsi="Aptos" w:eastAsia="Microsoft YaHei"/>
                <w:color w:val="546E7A"/>
                <w:sz w:val="18"/>
              </w:rPr>
              <w:t>需要比较效率、功率密度、成本等权衡</w:t>
            </w:r>
          </w:p>
        </w:tc>
        <w:tc>
          <w:tcPr>
            <w:tcW w:w="3200" w:type="dxa"/>
          </w:tcPr>
          <w:p>
            <w:pPr>
              <w:spacing w:before="80" w:after="80" w:line="300" w:lineRule="auto"/>
              <w:ind w:firstLine="0"/>
            </w:pPr>
            <w:r>
              <w:rPr>
                <w:rFonts w:ascii="Aptos" w:hAnsi="Aptos" w:eastAsia="Microsoft YaHei"/>
                <w:color w:val="546E7A"/>
                <w:sz w:val="18"/>
              </w:rPr>
              <w:t>Morris＋LHS＋Kriging/MOP＋NSGA-II</w:t>
            </w:r>
          </w:p>
        </w:tc>
        <w:tc>
          <w:tcPr>
            <w:tcW w:w="1500" w:type="dxa"/>
          </w:tcPr>
          <w:p>
            <w:pPr>
              <w:spacing w:before="80" w:after="80" w:line="300" w:lineRule="auto"/>
              <w:ind w:firstLine="0"/>
            </w:pPr>
            <w:r>
              <w:rPr>
                <w:rFonts w:ascii="Aptos" w:hAnsi="Aptos" w:eastAsia="Microsoft YaHei"/>
                <w:color w:val="546E7A"/>
                <w:sz w:val="18"/>
              </w:rPr>
              <w:t>中到高</w:t>
            </w:r>
          </w:p>
        </w:tc>
        <w:tc>
          <w:tcPr>
            <w:tcW w:w="2200" w:type="dxa"/>
          </w:tcPr>
          <w:p>
            <w:pPr>
              <w:spacing w:before="80" w:after="80" w:line="300" w:lineRule="auto"/>
              <w:ind w:firstLine="0"/>
            </w:pPr>
            <w:r>
              <w:rPr>
                <w:rFonts w:ascii="Aptos" w:hAnsi="Aptos" w:eastAsia="Microsoft YaHei"/>
                <w:color w:val="546E7A"/>
                <w:sz w:val="18"/>
              </w:rPr>
              <w:t>Pareto前沿和参数敏感性</w:t>
            </w:r>
          </w:p>
        </w:tc>
      </w:tr>
      <w:tr>
        <w:trPr>
          <w:cantSplit/>
        </w:trPr>
        <w:tc>
          <w:tcPr>
            <w:tcW w:w="1800" w:type="dxa"/>
          </w:tcPr>
          <w:p>
            <w:pPr>
              <w:spacing w:before="80" w:after="80" w:line="300" w:lineRule="auto"/>
              <w:ind w:firstLine="0"/>
            </w:pPr>
            <w:r>
              <w:rPr>
                <w:rFonts w:ascii="Aptos" w:hAnsi="Aptos" w:eastAsia="Microsoft YaHei"/>
                <w:color w:val="546E7A"/>
                <w:sz w:val="18"/>
              </w:rPr>
              <w:t>高保真校核模式</w:t>
            </w:r>
          </w:p>
        </w:tc>
        <w:tc>
          <w:tcPr>
            <w:tcW w:w="3000" w:type="dxa"/>
          </w:tcPr>
          <w:p>
            <w:pPr>
              <w:spacing w:before="80" w:after="80" w:line="300" w:lineRule="auto"/>
              <w:ind w:firstLine="0"/>
            </w:pPr>
            <w:r>
              <w:rPr>
                <w:rFonts w:ascii="Aptos" w:hAnsi="Aptos" w:eastAsia="Microsoft YaHei"/>
                <w:color w:val="546E7A"/>
                <w:sz w:val="18"/>
              </w:rPr>
              <w:t>候选方案进入设计冻结或工程评审</w:t>
            </w:r>
          </w:p>
        </w:tc>
        <w:tc>
          <w:tcPr>
            <w:tcW w:w="3200" w:type="dxa"/>
          </w:tcPr>
          <w:p>
            <w:pPr>
              <w:spacing w:before="80" w:after="80" w:line="300" w:lineRule="auto"/>
              <w:ind w:firstLine="0"/>
            </w:pPr>
            <w:r>
              <w:rPr>
                <w:rFonts w:ascii="Aptos" w:hAnsi="Aptos" w:eastAsia="Microsoft YaHei"/>
                <w:color w:val="546E7A"/>
                <w:sz w:val="18"/>
              </w:rPr>
              <w:t>Motor-CAD L2复核＋Maxwell/JMAG L3验证＋公差扰动</w:t>
            </w:r>
          </w:p>
        </w:tc>
        <w:tc>
          <w:tcPr>
            <w:tcW w:w="1500" w:type="dxa"/>
          </w:tcPr>
          <w:p>
            <w:pPr>
              <w:spacing w:before="80" w:after="80" w:line="300" w:lineRule="auto"/>
              <w:ind w:firstLine="0"/>
            </w:pPr>
            <w:r>
              <w:rPr>
                <w:rFonts w:ascii="Aptos" w:hAnsi="Aptos" w:eastAsia="Microsoft YaHei"/>
                <w:color w:val="546E7A"/>
                <w:sz w:val="18"/>
              </w:rPr>
              <w:t>集中在少数候选</w:t>
            </w:r>
          </w:p>
        </w:tc>
        <w:tc>
          <w:tcPr>
            <w:tcW w:w="2200" w:type="dxa"/>
          </w:tcPr>
          <w:p>
            <w:pPr>
              <w:spacing w:before="80" w:after="80" w:line="300" w:lineRule="auto"/>
              <w:ind w:firstLine="0"/>
            </w:pPr>
            <w:r>
              <w:rPr>
                <w:rFonts w:ascii="Aptos" w:hAnsi="Aptos" w:eastAsia="Microsoft YaHei"/>
                <w:color w:val="546E7A"/>
                <w:sz w:val="18"/>
              </w:rPr>
              <w:t>最终验证报告和校准系数</w:t>
            </w:r>
          </w:p>
        </w:tc>
      </w:tr>
    </w:tbl>
    <w:p>
      <w:pPr>
        <w:pStyle w:val="Heading2"/>
      </w:pPr>
      <w:r>
        <w:t>4.3 默认快速可行模式</w:t>
      </w:r>
    </w:p>
    <w:p>
      <w:pPr>
        <w:pStyle w:val="Bullet"/>
      </w:pPr>
      <w:r>
        <w:t>第一步：边界条件标准化。统一单位、工况、温度、约束类型和目标方向，明确硬约束与软目标。</w:t>
      </w:r>
    </w:p>
    <w:p>
      <w:pPr>
        <w:pStyle w:val="Bullet"/>
      </w:pPr>
      <w:r>
        <w:t>第二步：L0解析预筛选。根据轴向长度、内外径、气隙、电流密度、PCB工艺和冷却能力裁剪可行域。</w:t>
      </w:r>
    </w:p>
    <w:p>
      <w:pPr>
        <w:pStyle w:val="Bullet"/>
      </w:pPr>
      <w:r>
        <w:t>第三步：生成初始种子。优先使用相似案例和专家模板，再用少量LHS补足空间覆盖。</w:t>
      </w:r>
    </w:p>
    <w:p>
      <w:pPr>
        <w:pStyle w:val="Bullet"/>
      </w:pPr>
      <w:r>
        <w:t>第四步：Motor-CAD快速电磁计算。仅计算额定、峰值、最高转速和热边界等关键工况，不做全效率图。</w:t>
      </w:r>
    </w:p>
    <w:p>
      <w:pPr>
        <w:pStyle w:val="Bullet"/>
      </w:pPr>
      <w:r>
        <w:t>第五步：建立可行性概率模型。模型同时预测性能均值、约束违反概率和不确定性。</w:t>
      </w:r>
    </w:p>
    <w:p>
      <w:pPr>
        <w:pStyle w:val="Bullet"/>
      </w:pPr>
      <w:r>
        <w:t>第六步：批量自适应选点。每轮推荐4～8个仿真点，优先选择可行概率高且信息增益大的组合。</w:t>
      </w:r>
    </w:p>
    <w:p>
      <w:pPr>
        <w:pStyle w:val="Bullet"/>
      </w:pPr>
      <w:r>
        <w:t>第七步：局部信任域收敛。发现稳定可行区后，在当前最优点附近做小范围精细搜索。</w:t>
      </w:r>
    </w:p>
    <w:p>
      <w:pPr>
        <w:pStyle w:val="Bullet"/>
      </w:pPr>
      <w:r>
        <w:t>第八步：高保真复核。对1～3个候选方案进入Motor-CAD L2和Maxwell/JMAG L3验证。</w:t>
      </w:r>
    </w:p>
    <w:p>
      <w:pPr>
        <w:pStyle w:val="Heading2"/>
      </w:pPr>
      <w:r>
        <w:t>4.4 全局Pareto模式</w:t>
      </w:r>
    </w:p>
    <w:p>
      <w:r>
        <w:t>当用户明确要求比较多目标权衡时，才进入Morris、LHS、Kriging和NSGA-II组成的完整全局探索模式。该模式不应以“找到第一个可行点”为停止条件，而应以代理模型质量、Pareto前沿稳定性和高保真复核一致性作为收敛依据。</w:t>
      </w:r>
    </w:p>
    <w:p>
      <w:r>
        <w:t>建议把Pareto模式的结果定位为“设计空间地图”，而不是直接输出唯一最优解。最终推荐方案仍需回到高保真校核模式，由Maxwell/JMAG和制造扰动验证。</w:t>
      </w:r>
    </w:p>
    <w:p>
      <w:pPr>
        <w:pStyle w:val="Heading2"/>
      </w:pPr>
      <w:r>
        <w:t>4.5 高保真验证与校准</w:t>
      </w:r>
    </w:p>
    <w:p>
      <w:r>
        <w:t>Motor-CAD和Maxwell/JMAG之间必须建立显式校准关系。至少应记录每个候选方案在相同工况下的转矩、反电势、铜损、铁损、磁钢涡流损耗、轴向力和效率偏差。初期可采用加法或乘法修正系数；数据积累后可升级为Co-Kriging或多保真代理模型。</w:t>
      </w:r>
    </w:p>
    <w:p>
      <w:r>
        <w:t>如果Motor-CAD低估了PCB交流铜损或磁钢涡流损耗，而系统仍然把Motor-CAD效率作为最终优化目标，搜索方向会被系统性带偏。因此，高保真校准系数应反哺到代理模型和目标函数，而不是只写在验证报告中。</w:t>
      </w:r>
    </w:p>
    <w:p>
      <w:pPr>
        <w:pStyle w:val="Heading1"/>
      </w:pPr>
      <w:r>
        <w:t>五、Motor-CAD与Maxwell/JMAG职责边界</w:t>
      </w:r>
      <w:bookmarkStart w:name="_Toc005" w:id="91304"/>
      <w:bookmarkEnd w:id="91304"/>
    </w:p>
    <w:p>
      <w:pPr>
        <w:pStyle w:val="Heading2"/>
      </w:pPr>
      <w:r>
        <w:t>5.1 Motor-CAD应承担的任务</w:t>
      </w:r>
    </w:p>
    <w:p>
      <w:pPr>
        <w:pStyle w:val="Bullet"/>
      </w:pPr>
      <w:r>
        <w:t>快速比较SSSR、DRSS、SDSR等拓扑在尺寸边界下的可行性。</w:t>
      </w:r>
    </w:p>
    <w:p>
      <w:pPr>
        <w:pStyle w:val="Bullet"/>
      </w:pPr>
      <w:r>
        <w:t>收敛主要电磁参数，包括气隙、磁钢厚度、极槽配合、有效半径、等效绕组参数和电流密度。</w:t>
      </w:r>
    </w:p>
    <w:p>
      <w:pPr>
        <w:pStyle w:val="Bullet"/>
      </w:pPr>
      <w:r>
        <w:t>计算关键工况下的转矩、反电势、损耗、轴向力和效率初值。</w:t>
      </w:r>
    </w:p>
    <w:p>
      <w:pPr>
        <w:pStyle w:val="Bullet"/>
      </w:pPr>
      <w:r>
        <w:t>在候选缩小后调用Lab、热和机械模块，形成初步多物理场筛查。</w:t>
      </w:r>
    </w:p>
    <w:p>
      <w:pPr>
        <w:pStyle w:val="Bullet"/>
      </w:pPr>
      <w:r>
        <w:t>为Maxwell/JMAG提供参数化候选、工况范围和需要重点验证的指标。</w:t>
      </w:r>
    </w:p>
    <w:p>
      <w:pPr>
        <w:pStyle w:val="Heading2"/>
      </w:pPr>
      <w:r>
        <w:t>5.2 Maxwell/JMAG必须承担的任务</w:t>
      </w:r>
    </w:p>
    <w:p>
      <w:pPr>
        <w:pStyle w:val="Bullet"/>
      </w:pPr>
      <w:r>
        <w:t>PCB走线、多层铜箔、过孔、端部连接和局部电流分布的高保真电磁计算。</w:t>
      </w:r>
    </w:p>
    <w:p>
      <w:pPr>
        <w:pStyle w:val="Bullet"/>
      </w:pPr>
      <w:r>
        <w:t>三维轴向磁路、边缘效应、漏磁、局部饱和和磁钢涡流损耗校验。</w:t>
      </w:r>
    </w:p>
    <w:p>
      <w:pPr>
        <w:pStyle w:val="Bullet"/>
      </w:pPr>
      <w:r>
        <w:t>轴向磁拉力、转矩脉动和高阶空间谐波的高保真复核。</w:t>
      </w:r>
    </w:p>
    <w:p>
      <w:pPr>
        <w:pStyle w:val="Bullet"/>
      </w:pPr>
      <w:r>
        <w:t>最终效率、温升输入和退磁风险的高保真验证。</w:t>
      </w:r>
    </w:p>
    <w:p>
      <w:pPr>
        <w:pStyle w:val="Bullet"/>
      </w:pPr>
      <w:r>
        <w:t>对Motor-CAD近似模型进行偏差评估和校准系数更新。</w:t>
      </w:r>
    </w:p>
    <w:p>
      <w:pPr>
        <w:pStyle w:val="Heading2"/>
      </w:pPr>
      <w:r>
        <w:t>5.3 工具分工原则</w:t>
      </w:r>
    </w:p>
    <w:tbl>
      <w:tblPr>
        <w:tblW w:w="5000" w:type="pct"/>
        <w:tblBorders>
          <w:top w:val="single" w:color="B08D57" w:sz="8"/>
          <w:left w:val="single" w:color="B08D57" w:sz="8"/>
          <w:bottom w:val="single" w:color="B08D57" w:sz="8"/>
          <w:right w:val="single" w:color="B08D57" w:sz="8"/>
        </w:tblBorders>
      </w:tblPr>
      <w:tblGrid>
        <w:gridCol w:w="9000"/>
      </w:tblGrid>
      <w:tr>
        <w:trPr>
          <w:cantSplit/>
        </w:trPr>
        <w:tc>
          <w:tcPr>
            <w:tcW w:w="9000" w:type="dxa"/>
            <w:shd w:val="clear" w:fill="ECEFF1"/>
          </w:tcPr>
          <w:p>
            <w:pPr>
              <w:spacing w:before="140" w:after="80"/>
              <w:ind w:firstLine="0"/>
            </w:pPr>
            <w:r>
              <w:rPr>
                <w:rFonts w:ascii="Aptos" w:hAnsi="Aptos" w:eastAsia="Microsoft YaHei"/>
                <w:b/>
                <w:color w:val="B08D57"/>
              </w:rPr>
              <w:t>原则</w:t>
            </w:r>
          </w:p>
          <w:p>
            <w:pPr>
              <w:spacing w:after="140"/>
              <w:ind w:firstLine="0"/>
            </w:pPr>
            <w:r>
              <w:rPr>
                <w:rFonts w:ascii="Aptos" w:hAnsi="Aptos" w:eastAsia="Microsoft YaHei"/>
                <w:color w:val="263238"/>
              </w:rPr>
              <w:t>Motor-CAD决定“大方向是否对”，Maxwell/JMAG决定“工程结果是否真”。前者用于快速收敛主要参数，后者用于确认PCB和三维效应对关键指标的影响。两者缺一不可，但不能在同一层级上重复计算。</w:t>
            </w:r>
          </w:p>
        </w:tc>
      </w:tr>
    </w:tbl>
    <w:p>
      <w:pPr>
        <w:pStyle w:val="Heading2"/>
      </w:pPr>
      <w:r>
        <w:t>5.4 PCB绕组建模边界</w:t>
      </w:r>
    </w:p>
    <w:p>
      <w:r>
        <w:t>Motor-CAD中的PCB近似模型必须在模型模板中显式记录等效假设，包括：铜厚、线宽、线距、层数、并联支路、过孔电阻、FR4热导率、绝缘厚度、端部连接方式和交流损耗修正系数。每次仿真结果都应绑定这些假设，否则经验库会把不同等效模型的结果混在一起。</w:t>
      </w:r>
    </w:p>
    <w:p>
      <w:r>
        <w:t>建议为PCB绕组增加独立的“等效模型字典”，不要直接把PCB参数伪装成常规圆线绕组参数。经验库检索时，应同时匹配拓扑、功率段和PCB等效模型版本。</w:t>
      </w:r>
    </w:p>
    <w:p>
      <w:pPr>
        <w:pStyle w:val="Heading1"/>
      </w:pPr>
      <w:r>
        <w:t>六、系统接口与执行引擎修改建议</w:t>
      </w:r>
      <w:bookmarkStart w:name="_Toc006" w:id="10050"/>
      <w:bookmarkEnd w:id="10050"/>
    </w:p>
    <w:p>
      <w:pPr>
        <w:pStyle w:val="Heading2"/>
      </w:pPr>
      <w:r>
        <w:t>6.1 JSON Schema必须扩展的字段</w:t>
      </w:r>
    </w:p>
    <w:p>
      <w:r>
        <w:t>现有`simulation_plan.json`已能表达固定参数扫描，但不足以表达自适应闭环、多保真度升级和跨工具校准。建议增加以下顶层字段：</w:t>
      </w:r>
    </w:p>
    <w:p>
      <w:pPr>
        <w:pStyle w:val="Bullet"/>
      </w:pPr>
      <w:r>
        <w:t>`strategy_mode`：fast_feasible、pareto_exploration、high_fidelity_validation、robustness_check。</w:t>
      </w:r>
    </w:p>
    <w:p>
      <w:pPr>
        <w:pStyle w:val="Bullet"/>
      </w:pPr>
      <w:r>
        <w:t>`fidelity_strategy`：L0～L4模型层级、升级条件、各层级允许的最大求解成本。</w:t>
      </w:r>
    </w:p>
    <w:p>
      <w:pPr>
        <w:pStyle w:val="Bullet"/>
      </w:pPr>
      <w:r>
        <w:t>`search_strategy`：初始采样、主动学习、批量大小、局部信任域、约束处理方式。</w:t>
      </w:r>
    </w:p>
    <w:p>
      <w:pPr>
        <w:pStyle w:val="Bullet"/>
      </w:pPr>
      <w:r>
        <w:t>`calibration_policy`：Motor-CAD与Maxwell/JMAG偏差记录方式、修正系数、更新规则。</w:t>
      </w:r>
    </w:p>
    <w:p>
      <w:pPr>
        <w:pStyle w:val="Bullet"/>
      </w:pPr>
      <w:r>
        <w:t>`acceptance_criteria`：硬约束、目标阈值、代理模型可信度、跨工具偏差和鲁棒性要求。</w:t>
      </w:r>
    </w:p>
    <w:p>
      <w:pPr>
        <w:pStyle w:val="Bullet"/>
      </w:pPr>
      <w:r>
        <w:t>`parallel_execution`：并行实例数、模型副本策略、许可证失败处理和任务队列策略。</w:t>
      </w:r>
    </w:p>
    <w:p>
      <w:pPr>
        <w:pStyle w:val="Heading2"/>
      </w:pPr>
      <w:r>
        <w:t>6.2 执行程序应支持三种模式</w:t>
      </w:r>
    </w:p>
    <w:tbl>
      <w:tblPr>
        <w:tblW w:w="5000" w:type="pct"/>
        <w:tblBorders>
          <w:top w:val="single" w:color="263238" w:sz="12"/>
          <w:left w:val="nil"/>
          <w:bottom w:val="single" w:color="263238" w:sz="12"/>
          <w:right w:val="nil"/>
          <w:insideH w:val="single" w:color="CFD8DC" w:sz="4"/>
          <w:insideV w:val="nil"/>
        </w:tblBorders>
      </w:tblPr>
      <w:tblGrid>
        <w:gridCol w:w="1700"/>
        <w:gridCol w:w="3800"/>
        <w:gridCol w:w="1800"/>
        <w:gridCol w:w="3500"/>
      </w:tblGrid>
      <w:tr>
        <w:trPr>
          <w:cantSplit/>
          <w:tblHeader/>
        </w:trPr>
        <w:tc>
          <w:tcPr>
            <w:tcW w:w="1700" w:type="dxa"/>
            <w:shd w:val="clear" w:fill="ECEFF1"/>
          </w:tcPr>
          <w:p>
            <w:pPr>
              <w:spacing w:before="80" w:after="80" w:line="300" w:lineRule="auto"/>
              <w:ind w:firstLine="0"/>
            </w:pPr>
            <w:r>
              <w:rPr>
                <w:rFonts w:ascii="Aptos" w:hAnsi="Aptos" w:eastAsia="Microsoft YaHei"/>
                <w:b/>
                <w:color w:val="263238"/>
                <w:sz w:val="19"/>
              </w:rPr>
              <w:t>模式</w:t>
            </w:r>
          </w:p>
        </w:tc>
        <w:tc>
          <w:tcPr>
            <w:tcW w:w="3800" w:type="dxa"/>
            <w:shd w:val="clear" w:fill="ECEFF1"/>
          </w:tcPr>
          <w:p>
            <w:pPr>
              <w:spacing w:before="80" w:after="80" w:line="300" w:lineRule="auto"/>
              <w:ind w:firstLine="0"/>
            </w:pPr>
            <w:r>
              <w:rPr>
                <w:rFonts w:ascii="Aptos" w:hAnsi="Aptos" w:eastAsia="Microsoft YaHei"/>
                <w:b/>
                <w:color w:val="263238"/>
                <w:sz w:val="19"/>
              </w:rPr>
              <w:t>工作方式</w:t>
            </w:r>
          </w:p>
        </w:tc>
        <w:tc>
          <w:tcPr>
            <w:tcW w:w="1800" w:type="dxa"/>
            <w:shd w:val="clear" w:fill="ECEFF1"/>
          </w:tcPr>
          <w:p>
            <w:pPr>
              <w:spacing w:before="80" w:after="80" w:line="300" w:lineRule="auto"/>
              <w:ind w:firstLine="0"/>
            </w:pPr>
            <w:r>
              <w:rPr>
                <w:rFonts w:ascii="Aptos" w:hAnsi="Aptos" w:eastAsia="Microsoft YaHei"/>
                <w:b/>
                <w:color w:val="263238"/>
                <w:sz w:val="19"/>
              </w:rPr>
              <w:t>适用阶段</w:t>
            </w:r>
          </w:p>
        </w:tc>
        <w:tc>
          <w:tcPr>
            <w:tcW w:w="3500" w:type="dxa"/>
            <w:shd w:val="clear" w:fill="ECEFF1"/>
          </w:tcPr>
          <w:p>
            <w:pPr>
              <w:spacing w:before="80" w:after="80" w:line="300" w:lineRule="auto"/>
              <w:ind w:firstLine="0"/>
            </w:pPr>
            <w:r>
              <w:rPr>
                <w:rFonts w:ascii="Aptos" w:hAnsi="Aptos" w:eastAsia="Microsoft YaHei"/>
                <w:b/>
                <w:color w:val="263238"/>
                <w:sz w:val="19"/>
              </w:rPr>
              <w:t>对系统二的要求</w:t>
            </w:r>
          </w:p>
        </w:tc>
      </w:tr>
      <w:tr>
        <w:trPr>
          <w:cantSplit/>
        </w:trPr>
        <w:tc>
          <w:tcPr>
            <w:tcW w:w="1700" w:type="dxa"/>
          </w:tcPr>
          <w:p>
            <w:pPr>
              <w:spacing w:before="80" w:after="80" w:line="300" w:lineRule="auto"/>
              <w:ind w:firstLine="0"/>
            </w:pPr>
            <w:r>
              <w:rPr>
                <w:rFonts w:ascii="Aptos" w:hAnsi="Aptos" w:eastAsia="Microsoft YaHei"/>
                <w:color w:val="546E7A"/>
                <w:sz w:val="18"/>
              </w:rPr>
              <w:t>固定计划模式</w:t>
            </w:r>
          </w:p>
        </w:tc>
        <w:tc>
          <w:tcPr>
            <w:tcW w:w="3800" w:type="dxa"/>
          </w:tcPr>
          <w:p>
            <w:pPr>
              <w:spacing w:before="80" w:after="80" w:line="300" w:lineRule="auto"/>
              <w:ind w:firstLine="0"/>
            </w:pPr>
            <w:r>
              <w:rPr>
                <w:rFonts w:ascii="Aptos" w:hAnsi="Aptos" w:eastAsia="Microsoft YaHei"/>
                <w:color w:val="546E7A"/>
                <w:sz w:val="18"/>
              </w:rPr>
              <w:t>一次性接收全部仿真点并顺序执行</w:t>
            </w:r>
          </w:p>
        </w:tc>
        <w:tc>
          <w:tcPr>
            <w:tcW w:w="1800" w:type="dxa"/>
          </w:tcPr>
          <w:p>
            <w:pPr>
              <w:spacing w:before="80" w:after="80" w:line="300" w:lineRule="auto"/>
              <w:ind w:firstLine="0"/>
            </w:pPr>
            <w:r>
              <w:rPr>
                <w:rFonts w:ascii="Aptos" w:hAnsi="Aptos" w:eastAsia="Microsoft YaHei"/>
                <w:color w:val="546E7A"/>
                <w:sz w:val="18"/>
              </w:rPr>
              <w:t>Phase 1最小闭环</w:t>
            </w:r>
          </w:p>
        </w:tc>
        <w:tc>
          <w:tcPr>
            <w:tcW w:w="3500" w:type="dxa"/>
          </w:tcPr>
          <w:p>
            <w:pPr>
              <w:spacing w:before="80" w:after="80" w:line="300" w:lineRule="auto"/>
              <w:ind w:firstLine="0"/>
            </w:pPr>
            <w:r>
              <w:rPr>
                <w:rFonts w:ascii="Aptos" w:hAnsi="Aptos" w:eastAsia="Microsoft YaHei"/>
                <w:color w:val="546E7A"/>
                <w:sz w:val="18"/>
              </w:rPr>
              <w:t>当前设计基本满足</w:t>
            </w:r>
          </w:p>
        </w:tc>
      </w:tr>
      <w:tr>
        <w:trPr>
          <w:cantSplit/>
        </w:trPr>
        <w:tc>
          <w:tcPr>
            <w:tcW w:w="1700" w:type="dxa"/>
          </w:tcPr>
          <w:p>
            <w:pPr>
              <w:spacing w:before="80" w:after="80" w:line="300" w:lineRule="auto"/>
              <w:ind w:firstLine="0"/>
            </w:pPr>
            <w:r>
              <w:rPr>
                <w:rFonts w:ascii="Aptos" w:hAnsi="Aptos" w:eastAsia="Microsoft YaHei"/>
                <w:color w:val="546E7A"/>
                <w:sz w:val="18"/>
              </w:rPr>
              <w:t>批量自适应模式</w:t>
            </w:r>
          </w:p>
        </w:tc>
        <w:tc>
          <w:tcPr>
            <w:tcW w:w="3800" w:type="dxa"/>
          </w:tcPr>
          <w:p>
            <w:pPr>
              <w:spacing w:before="80" w:after="80" w:line="300" w:lineRule="auto"/>
              <w:ind w:firstLine="0"/>
            </w:pPr>
            <w:r>
              <w:rPr>
                <w:rFonts w:ascii="Aptos" w:hAnsi="Aptos" w:eastAsia="Microsoft YaHei"/>
                <w:color w:val="546E7A"/>
                <w:sz w:val="18"/>
              </w:rPr>
              <w:t>每轮接收4～8个点，执行后回传，方案系统计算下一轮</w:t>
            </w:r>
          </w:p>
        </w:tc>
        <w:tc>
          <w:tcPr>
            <w:tcW w:w="1800" w:type="dxa"/>
          </w:tcPr>
          <w:p>
            <w:pPr>
              <w:spacing w:before="80" w:after="80" w:line="300" w:lineRule="auto"/>
              <w:ind w:firstLine="0"/>
            </w:pPr>
            <w:r>
              <w:rPr>
                <w:rFonts w:ascii="Aptos" w:hAnsi="Aptos" w:eastAsia="Microsoft YaHei"/>
                <w:color w:val="546E7A"/>
                <w:sz w:val="18"/>
              </w:rPr>
              <w:t>Phase 3算法增强</w:t>
            </w:r>
          </w:p>
        </w:tc>
        <w:tc>
          <w:tcPr>
            <w:tcW w:w="3500" w:type="dxa"/>
          </w:tcPr>
          <w:p>
            <w:pPr>
              <w:spacing w:before="80" w:after="80" w:line="300" w:lineRule="auto"/>
              <w:ind w:firstLine="0"/>
            </w:pPr>
            <w:r>
              <w:rPr>
                <w:rFonts w:ascii="Aptos" w:hAnsi="Aptos" w:eastAsia="Microsoft YaHei"/>
                <w:color w:val="546E7A"/>
                <w:sz w:val="18"/>
              </w:rPr>
              <w:t>需要支持批次ID、增量结果上传和方案版本追踪</w:t>
            </w:r>
          </w:p>
        </w:tc>
      </w:tr>
      <w:tr>
        <w:trPr>
          <w:cantSplit/>
        </w:trPr>
        <w:tc>
          <w:tcPr>
            <w:tcW w:w="1700" w:type="dxa"/>
          </w:tcPr>
          <w:p>
            <w:pPr>
              <w:spacing w:before="80" w:after="80" w:line="300" w:lineRule="auto"/>
              <w:ind w:firstLine="0"/>
            </w:pPr>
            <w:r>
              <w:rPr>
                <w:rFonts w:ascii="Aptos" w:hAnsi="Aptos" w:eastAsia="Microsoft YaHei"/>
                <w:color w:val="546E7A"/>
                <w:sz w:val="18"/>
              </w:rPr>
              <w:t>本地闭环模式</w:t>
            </w:r>
          </w:p>
        </w:tc>
        <w:tc>
          <w:tcPr>
            <w:tcW w:w="3800" w:type="dxa"/>
          </w:tcPr>
          <w:p>
            <w:pPr>
              <w:spacing w:before="80" w:after="80" w:line="300" w:lineRule="auto"/>
              <w:ind w:firstLine="0"/>
            </w:pPr>
            <w:r>
              <w:rPr>
                <w:rFonts w:ascii="Aptos" w:hAnsi="Aptos" w:eastAsia="Microsoft YaHei"/>
                <w:color w:val="546E7A"/>
                <w:sz w:val="18"/>
              </w:rPr>
              <w:t>执行程序内部运行确定性优化器，根据结果动态选点</w:t>
            </w:r>
          </w:p>
        </w:tc>
        <w:tc>
          <w:tcPr>
            <w:tcW w:w="1800" w:type="dxa"/>
          </w:tcPr>
          <w:p>
            <w:pPr>
              <w:spacing w:before="80" w:after="80" w:line="300" w:lineRule="auto"/>
              <w:ind w:firstLine="0"/>
            </w:pPr>
            <w:r>
              <w:rPr>
                <w:rFonts w:ascii="Aptos" w:hAnsi="Aptos" w:eastAsia="Microsoft YaHei"/>
                <w:color w:val="546E7A"/>
                <w:sz w:val="18"/>
              </w:rPr>
              <w:t>无人值守或网络受限场景</w:t>
            </w:r>
          </w:p>
        </w:tc>
        <w:tc>
          <w:tcPr>
            <w:tcW w:w="3500" w:type="dxa"/>
          </w:tcPr>
          <w:p>
            <w:pPr>
              <w:spacing w:before="80" w:after="80" w:line="300" w:lineRule="auto"/>
              <w:ind w:firstLine="0"/>
            </w:pPr>
            <w:r>
              <w:rPr>
                <w:rFonts w:ascii="Aptos" w:hAnsi="Aptos" w:eastAsia="Microsoft YaHei"/>
                <w:color w:val="546E7A"/>
                <w:sz w:val="18"/>
              </w:rPr>
              <w:t>需要嵌入数值优化器；不需要内置LLM</w:t>
            </w:r>
          </w:p>
        </w:tc>
      </w:tr>
    </w:tbl>
    <w:p>
      <w:r>
        <w:t>本地闭环模式并不违背“执行程序无需联网/AI”的原则。这里的AI主要指LLM推理；约束贝叶斯、信任域和NSGA-II属于确定性或随机数值优化算法，可以打包在本地EXE中运行。</w:t>
      </w:r>
    </w:p>
    <w:p>
      <w:pPr>
        <w:pStyle w:val="Heading2"/>
      </w:pPr>
      <w:r>
        <w:t>6.3 并行与缓存</w:t>
      </w:r>
    </w:p>
    <w:p>
      <w:r>
        <w:t>Motor-CAD可以通过PyMotorCAD由外部Python脚本进行并行计算。Ansys 2026 R1培训资料明确覆盖了Python多进程、任务调度、排队和结果汇总，这意味着系统二不应只设计成单实例串行执行器，而应预留并行任务池。</w:t>
      </w:r>
      <w:r>
        <w:rPr>
          <w:vertAlign w:val="superscript"/>
        </w:rPr>
        <w:footnoteReference w:id="6"/>
      </w:r>
    </w:p>
    <w:p>
      <w:pPr>
        <w:pStyle w:val="Bullet"/>
      </w:pPr>
      <w:r>
        <w:t>每个并行任务必须使用独立模型副本和独立工作目录，禁止多个实例同时写同一个`.mot`文件。</w:t>
      </w:r>
    </w:p>
    <w:p>
      <w:pPr>
        <w:pStyle w:val="Bullet"/>
      </w:pPr>
      <w:r>
        <w:t>断点续跑应以“参数哈希＋模型版本＋工况ID＋求解器版本＋保真度等级”为缓存键，而不是只检查迭代序号。</w:t>
      </w:r>
    </w:p>
    <w:p>
      <w:pPr>
        <w:pStyle w:val="Bullet"/>
      </w:pPr>
      <w:r>
        <w:t>结果文件应原子写入，先写临时文件再重命名，避免程序中断后被误判为已完成。</w:t>
      </w:r>
    </w:p>
    <w:p>
      <w:pPr>
        <w:pStyle w:val="Bullet"/>
      </w:pPr>
      <w:r>
        <w:t>许可证失效、求解器崩溃和求解不收敛应分别进入不同的重试与降级策略。</w:t>
      </w:r>
    </w:p>
    <w:p>
      <w:pPr>
        <w:pStyle w:val="Heading2"/>
      </w:pPr>
      <w:r>
        <w:t>6.4 结果数据模型</w:t>
      </w:r>
    </w:p>
    <w:p>
      <w:r>
        <w:t>每条结果建议增加以下字段：</w:t>
      </w:r>
    </w:p>
    <w:p>
      <w:pPr>
        <w:pStyle w:val="Bullet"/>
      </w:pPr>
      <w:r>
        <w:t>`fidelity_level`：L0～L4。</w:t>
      </w:r>
    </w:p>
    <w:p>
      <w:pPr>
        <w:pStyle w:val="Bullet"/>
      </w:pPr>
      <w:r>
        <w:t>`model_template_version`：Motor-CAD模板、Maxwell/JMAG模型和PCB等效模型版本。</w:t>
      </w:r>
    </w:p>
    <w:p>
      <w:pPr>
        <w:pStyle w:val="Bullet"/>
      </w:pPr>
      <w:r>
        <w:t>`solver_settings_hash`：网格、周期数、求解类型、时间步和对称设置等关键配置摘要。</w:t>
      </w:r>
    </w:p>
    <w:p>
      <w:pPr>
        <w:pStyle w:val="Bullet"/>
      </w:pPr>
      <w:r>
        <w:t>`constraint_margins`：各硬约束的绝对裕量和百分比裕量。</w:t>
      </w:r>
    </w:p>
    <w:p>
      <w:pPr>
        <w:pStyle w:val="Bullet"/>
      </w:pPr>
      <w:r>
        <w:t>`surrogate_prediction`：代理模型预测值、不确定度和实际值偏差。</w:t>
      </w:r>
    </w:p>
    <w:p>
      <w:pPr>
        <w:pStyle w:val="Bullet"/>
      </w:pPr>
      <w:r>
        <w:t>`cross_validation`：Motor-CAD与Maxwell/JMAG的同工况偏差。</w:t>
      </w:r>
    </w:p>
    <w:p>
      <w:pPr>
        <w:pStyle w:val="Bullet"/>
      </w:pPr>
      <w:r>
        <w:t>`confidence_grade`：A/B/C/D置信等级。</w:t>
      </w:r>
    </w:p>
    <w:p>
      <w:pPr>
        <w:pStyle w:val="Heading1"/>
      </w:pPr>
      <w:r>
        <w:t>七、收敛判据与验收标准</w:t>
      </w:r>
      <w:bookmarkStart w:name="_Toc007" w:id="71060"/>
      <w:bookmarkEnd w:id="71060"/>
    </w:p>
    <w:p>
      <w:pPr>
        <w:pStyle w:val="Heading2"/>
      </w:pPr>
      <w:r>
        <w:t>7.1 六类收敛</w:t>
      </w:r>
    </w:p>
    <w:tbl>
      <w:tblPr>
        <w:tblW w:w="5000" w:type="pct"/>
        <w:tblBorders>
          <w:top w:val="single" w:color="263238" w:sz="12"/>
          <w:left w:val="nil"/>
          <w:bottom w:val="single" w:color="263238" w:sz="12"/>
          <w:right w:val="nil"/>
          <w:insideH w:val="single" w:color="CFD8DC" w:sz="4"/>
          <w:insideV w:val="nil"/>
        </w:tblBorders>
      </w:tblPr>
      <w:tblGrid>
        <w:gridCol w:w="1700"/>
        <w:gridCol w:w="2700"/>
        <w:gridCol w:w="3600"/>
        <w:gridCol w:w="2200"/>
      </w:tblGrid>
      <w:tr>
        <w:trPr>
          <w:cantSplit/>
          <w:tblHeader/>
        </w:trPr>
        <w:tc>
          <w:tcPr>
            <w:tcW w:w="1700" w:type="dxa"/>
            <w:shd w:val="clear" w:fill="ECEFF1"/>
          </w:tcPr>
          <w:p>
            <w:pPr>
              <w:spacing w:before="80" w:after="80" w:line="300" w:lineRule="auto"/>
              <w:ind w:firstLine="0"/>
            </w:pPr>
            <w:r>
              <w:rPr>
                <w:rFonts w:ascii="Aptos" w:hAnsi="Aptos" w:eastAsia="Microsoft YaHei"/>
                <w:b/>
                <w:color w:val="263238"/>
                <w:sz w:val="19"/>
              </w:rPr>
              <w:t>收敛类型</w:t>
            </w:r>
          </w:p>
        </w:tc>
        <w:tc>
          <w:tcPr>
            <w:tcW w:w="2700" w:type="dxa"/>
            <w:shd w:val="clear" w:fill="ECEFF1"/>
          </w:tcPr>
          <w:p>
            <w:pPr>
              <w:spacing w:before="80" w:after="80" w:line="300" w:lineRule="auto"/>
              <w:ind w:firstLine="0"/>
            </w:pPr>
            <w:r>
              <w:rPr>
                <w:rFonts w:ascii="Aptos" w:hAnsi="Aptos" w:eastAsia="Microsoft YaHei"/>
                <w:b/>
                <w:color w:val="263238"/>
                <w:sz w:val="19"/>
              </w:rPr>
              <w:t>判断对象</w:t>
            </w:r>
          </w:p>
        </w:tc>
        <w:tc>
          <w:tcPr>
            <w:tcW w:w="3600" w:type="dxa"/>
            <w:shd w:val="clear" w:fill="ECEFF1"/>
          </w:tcPr>
          <w:p>
            <w:pPr>
              <w:spacing w:before="80" w:after="80" w:line="300" w:lineRule="auto"/>
              <w:ind w:firstLine="0"/>
            </w:pPr>
            <w:r>
              <w:rPr>
                <w:rFonts w:ascii="Aptos" w:hAnsi="Aptos" w:eastAsia="Microsoft YaHei"/>
                <w:b/>
                <w:color w:val="263238"/>
                <w:sz w:val="19"/>
              </w:rPr>
              <w:t>建议判据</w:t>
            </w:r>
          </w:p>
        </w:tc>
        <w:tc>
          <w:tcPr>
            <w:tcW w:w="2200" w:type="dxa"/>
            <w:shd w:val="clear" w:fill="ECEFF1"/>
          </w:tcPr>
          <w:p>
            <w:pPr>
              <w:spacing w:before="80" w:after="80" w:line="300" w:lineRule="auto"/>
              <w:ind w:firstLine="0"/>
            </w:pPr>
            <w:r>
              <w:rPr>
                <w:rFonts w:ascii="Aptos" w:hAnsi="Aptos" w:eastAsia="Microsoft YaHei"/>
                <w:b/>
                <w:color w:val="263238"/>
                <w:sz w:val="19"/>
              </w:rPr>
              <w:t>输出状态</w:t>
            </w:r>
          </w:p>
        </w:tc>
      </w:tr>
      <w:tr>
        <w:trPr>
          <w:cantSplit/>
        </w:trPr>
        <w:tc>
          <w:tcPr>
            <w:tcW w:w="1700" w:type="dxa"/>
          </w:tcPr>
          <w:p>
            <w:pPr>
              <w:spacing w:before="80" w:after="80" w:line="300" w:lineRule="auto"/>
              <w:ind w:firstLine="0"/>
            </w:pPr>
            <w:r>
              <w:rPr>
                <w:rFonts w:ascii="Aptos" w:hAnsi="Aptos" w:eastAsia="Microsoft YaHei"/>
                <w:color w:val="546E7A"/>
                <w:sz w:val="18"/>
              </w:rPr>
              <w:t>求解器收敛</w:t>
            </w:r>
          </w:p>
        </w:tc>
        <w:tc>
          <w:tcPr>
            <w:tcW w:w="2700" w:type="dxa"/>
          </w:tcPr>
          <w:p>
            <w:pPr>
              <w:spacing w:before="80" w:after="80" w:line="300" w:lineRule="auto"/>
              <w:ind w:firstLine="0"/>
            </w:pPr>
            <w:r>
              <w:rPr>
                <w:rFonts w:ascii="Aptos" w:hAnsi="Aptos" w:eastAsia="Microsoft YaHei"/>
                <w:color w:val="546E7A"/>
                <w:sz w:val="18"/>
              </w:rPr>
              <w:t>单次Motor-CAD或Maxwell/JMAG求解</w:t>
            </w:r>
          </w:p>
        </w:tc>
        <w:tc>
          <w:tcPr>
            <w:tcW w:w="3600" w:type="dxa"/>
          </w:tcPr>
          <w:p>
            <w:pPr>
              <w:spacing w:before="80" w:after="80" w:line="300" w:lineRule="auto"/>
              <w:ind w:firstLine="0"/>
            </w:pPr>
            <w:r>
              <w:rPr>
                <w:rFonts w:ascii="Aptos" w:hAnsi="Aptos" w:eastAsia="Microsoft YaHei"/>
                <w:color w:val="546E7A"/>
                <w:sz w:val="18"/>
              </w:rPr>
              <w:t>求解完成、关键结果完整、日志无致命错误</w:t>
            </w:r>
          </w:p>
        </w:tc>
        <w:tc>
          <w:tcPr>
            <w:tcW w:w="2200" w:type="dxa"/>
          </w:tcPr>
          <w:p>
            <w:pPr>
              <w:spacing w:before="80" w:after="80" w:line="300" w:lineRule="auto"/>
              <w:ind w:firstLine="0"/>
            </w:pPr>
            <w:r>
              <w:rPr>
                <w:rFonts w:ascii="Aptos" w:hAnsi="Aptos" w:eastAsia="Microsoft YaHei"/>
                <w:color w:val="546E7A"/>
                <w:sz w:val="18"/>
              </w:rPr>
              <w:t>SOLVER_PASS / SOLVER_FAIL</w:t>
            </w:r>
          </w:p>
        </w:tc>
      </w:tr>
      <w:tr>
        <w:trPr>
          <w:cantSplit/>
        </w:trPr>
        <w:tc>
          <w:tcPr>
            <w:tcW w:w="1700" w:type="dxa"/>
          </w:tcPr>
          <w:p>
            <w:pPr>
              <w:spacing w:before="80" w:after="80" w:line="300" w:lineRule="auto"/>
              <w:ind w:firstLine="0"/>
            </w:pPr>
            <w:r>
              <w:rPr>
                <w:rFonts w:ascii="Aptos" w:hAnsi="Aptos" w:eastAsia="Microsoft YaHei"/>
                <w:color w:val="546E7A"/>
                <w:sz w:val="18"/>
              </w:rPr>
              <w:t>硬约束收敛</w:t>
            </w:r>
          </w:p>
        </w:tc>
        <w:tc>
          <w:tcPr>
            <w:tcW w:w="2700" w:type="dxa"/>
          </w:tcPr>
          <w:p>
            <w:pPr>
              <w:spacing w:before="80" w:after="80" w:line="300" w:lineRule="auto"/>
              <w:ind w:firstLine="0"/>
            </w:pPr>
            <w:r>
              <w:rPr>
                <w:rFonts w:ascii="Aptos" w:hAnsi="Aptos" w:eastAsia="Microsoft YaHei"/>
                <w:color w:val="546E7A"/>
                <w:sz w:val="18"/>
              </w:rPr>
              <w:t>候选方案是否满足边界条件</w:t>
            </w:r>
          </w:p>
        </w:tc>
        <w:tc>
          <w:tcPr>
            <w:tcW w:w="3600" w:type="dxa"/>
          </w:tcPr>
          <w:p>
            <w:pPr>
              <w:spacing w:before="80" w:after="80" w:line="300" w:lineRule="auto"/>
              <w:ind w:firstLine="0"/>
            </w:pPr>
            <w:r>
              <w:rPr>
                <w:rFonts w:ascii="Aptos" w:hAnsi="Aptos" w:eastAsia="Microsoft YaHei"/>
                <w:color w:val="546E7A"/>
                <w:sz w:val="18"/>
              </w:rPr>
              <w:t>转矩、温度、电压、电流、尺寸、轴向力、成本均满足</w:t>
            </w:r>
          </w:p>
        </w:tc>
        <w:tc>
          <w:tcPr>
            <w:tcW w:w="2200" w:type="dxa"/>
          </w:tcPr>
          <w:p>
            <w:pPr>
              <w:spacing w:before="80" w:after="80" w:line="300" w:lineRule="auto"/>
              <w:ind w:firstLine="0"/>
            </w:pPr>
            <w:r>
              <w:rPr>
                <w:rFonts w:ascii="Aptos" w:hAnsi="Aptos" w:eastAsia="Microsoft YaHei"/>
                <w:color w:val="546E7A"/>
                <w:sz w:val="18"/>
              </w:rPr>
              <w:t>FEASIBLE / INFEASIBLE</w:t>
            </w:r>
          </w:p>
        </w:tc>
      </w:tr>
      <w:tr>
        <w:trPr>
          <w:cantSplit/>
        </w:trPr>
        <w:tc>
          <w:tcPr>
            <w:tcW w:w="1700" w:type="dxa"/>
          </w:tcPr>
          <w:p>
            <w:pPr>
              <w:spacing w:before="80" w:after="80" w:line="300" w:lineRule="auto"/>
              <w:ind w:firstLine="0"/>
            </w:pPr>
            <w:r>
              <w:rPr>
                <w:rFonts w:ascii="Aptos" w:hAnsi="Aptos" w:eastAsia="Microsoft YaHei"/>
                <w:color w:val="546E7A"/>
                <w:sz w:val="18"/>
              </w:rPr>
              <w:t>优化收敛</w:t>
            </w:r>
          </w:p>
        </w:tc>
        <w:tc>
          <w:tcPr>
            <w:tcW w:w="2700" w:type="dxa"/>
          </w:tcPr>
          <w:p>
            <w:pPr>
              <w:spacing w:before="80" w:after="80" w:line="300" w:lineRule="auto"/>
              <w:ind w:firstLine="0"/>
            </w:pPr>
            <w:r>
              <w:rPr>
                <w:rFonts w:ascii="Aptos" w:hAnsi="Aptos" w:eastAsia="Microsoft YaHei"/>
                <w:color w:val="546E7A"/>
                <w:sz w:val="18"/>
              </w:rPr>
              <w:t>搜索过程是否继续产生收益</w:t>
            </w:r>
          </w:p>
        </w:tc>
        <w:tc>
          <w:tcPr>
            <w:tcW w:w="3600" w:type="dxa"/>
          </w:tcPr>
          <w:p>
            <w:pPr>
              <w:spacing w:before="80" w:after="80" w:line="300" w:lineRule="auto"/>
              <w:ind w:firstLine="0"/>
            </w:pPr>
            <w:r>
              <w:rPr>
                <w:rFonts w:ascii="Aptos" w:hAnsi="Aptos" w:eastAsia="Microsoft YaHei"/>
                <w:color w:val="546E7A"/>
                <w:sz w:val="18"/>
              </w:rPr>
              <w:t>连续若干轮最优目标改进小于阈值，或信任域半径低于下限</w:t>
            </w:r>
          </w:p>
        </w:tc>
        <w:tc>
          <w:tcPr>
            <w:tcW w:w="2200" w:type="dxa"/>
          </w:tcPr>
          <w:p>
            <w:pPr>
              <w:spacing w:before="80" w:after="80" w:line="300" w:lineRule="auto"/>
              <w:ind w:firstLine="0"/>
            </w:pPr>
            <w:r>
              <w:rPr>
                <w:rFonts w:ascii="Aptos" w:hAnsi="Aptos" w:eastAsia="Microsoft YaHei"/>
                <w:color w:val="546E7A"/>
                <w:sz w:val="18"/>
              </w:rPr>
              <w:t>CONVERGED / STALLED</w:t>
            </w:r>
          </w:p>
        </w:tc>
      </w:tr>
      <w:tr>
        <w:trPr>
          <w:cantSplit/>
        </w:trPr>
        <w:tc>
          <w:tcPr>
            <w:tcW w:w="1700" w:type="dxa"/>
          </w:tcPr>
          <w:p>
            <w:pPr>
              <w:spacing w:before="80" w:after="80" w:line="300" w:lineRule="auto"/>
              <w:ind w:firstLine="0"/>
            </w:pPr>
            <w:r>
              <w:rPr>
                <w:rFonts w:ascii="Aptos" w:hAnsi="Aptos" w:eastAsia="Microsoft YaHei"/>
                <w:color w:val="546E7A"/>
                <w:sz w:val="18"/>
              </w:rPr>
              <w:t>代理模型可信</w:t>
            </w:r>
          </w:p>
        </w:tc>
        <w:tc>
          <w:tcPr>
            <w:tcW w:w="2700" w:type="dxa"/>
          </w:tcPr>
          <w:p>
            <w:pPr>
              <w:spacing w:before="80" w:after="80" w:line="300" w:lineRule="auto"/>
              <w:ind w:firstLine="0"/>
            </w:pPr>
            <w:r>
              <w:rPr>
                <w:rFonts w:ascii="Aptos" w:hAnsi="Aptos" w:eastAsia="Microsoft YaHei"/>
                <w:color w:val="546E7A"/>
                <w:sz w:val="18"/>
              </w:rPr>
              <w:t>代理模型是否可用于推荐</w:t>
            </w:r>
          </w:p>
        </w:tc>
        <w:tc>
          <w:tcPr>
            <w:tcW w:w="3600" w:type="dxa"/>
          </w:tcPr>
          <w:p>
            <w:pPr>
              <w:spacing w:before="80" w:after="80" w:line="300" w:lineRule="auto"/>
              <w:ind w:firstLine="0"/>
            </w:pPr>
            <w:r>
              <w:rPr>
                <w:rFonts w:ascii="Aptos" w:hAnsi="Aptos" w:eastAsia="Microsoft YaHei"/>
                <w:color w:val="546E7A"/>
                <w:sz w:val="18"/>
              </w:rPr>
              <w:t>交叉验证误差和候选点不确定度低于阈值</w:t>
            </w:r>
          </w:p>
        </w:tc>
        <w:tc>
          <w:tcPr>
            <w:tcW w:w="2200" w:type="dxa"/>
          </w:tcPr>
          <w:p>
            <w:pPr>
              <w:spacing w:before="80" w:after="80" w:line="300" w:lineRule="auto"/>
              <w:ind w:firstLine="0"/>
            </w:pPr>
            <w:r>
              <w:rPr>
                <w:rFonts w:ascii="Aptos" w:hAnsi="Aptos" w:eastAsia="Microsoft YaHei"/>
                <w:color w:val="546E7A"/>
                <w:sz w:val="18"/>
              </w:rPr>
              <w:t>MODEL_TRUSTED / MODEL_UNCERTAIN</w:t>
            </w:r>
          </w:p>
        </w:tc>
      </w:tr>
      <w:tr>
        <w:trPr>
          <w:cantSplit/>
        </w:trPr>
        <w:tc>
          <w:tcPr>
            <w:tcW w:w="1700" w:type="dxa"/>
          </w:tcPr>
          <w:p>
            <w:pPr>
              <w:spacing w:before="80" w:after="80" w:line="300" w:lineRule="auto"/>
              <w:ind w:firstLine="0"/>
            </w:pPr>
            <w:r>
              <w:rPr>
                <w:rFonts w:ascii="Aptos" w:hAnsi="Aptos" w:eastAsia="Microsoft YaHei"/>
                <w:color w:val="546E7A"/>
                <w:sz w:val="18"/>
              </w:rPr>
              <w:t>跨工具一致</w:t>
            </w:r>
          </w:p>
        </w:tc>
        <w:tc>
          <w:tcPr>
            <w:tcW w:w="2700" w:type="dxa"/>
          </w:tcPr>
          <w:p>
            <w:pPr>
              <w:spacing w:before="80" w:after="80" w:line="300" w:lineRule="auto"/>
              <w:ind w:firstLine="0"/>
            </w:pPr>
            <w:r>
              <w:rPr>
                <w:rFonts w:ascii="Aptos" w:hAnsi="Aptos" w:eastAsia="Microsoft YaHei"/>
                <w:color w:val="546E7A"/>
                <w:sz w:val="18"/>
              </w:rPr>
              <w:t>Motor-CAD与Maxwell/JMAG是否一致</w:t>
            </w:r>
          </w:p>
        </w:tc>
        <w:tc>
          <w:tcPr>
            <w:tcW w:w="3600" w:type="dxa"/>
          </w:tcPr>
          <w:p>
            <w:pPr>
              <w:spacing w:before="80" w:after="80" w:line="300" w:lineRule="auto"/>
              <w:ind w:firstLine="0"/>
            </w:pPr>
            <w:r>
              <w:rPr>
                <w:rFonts w:ascii="Aptos" w:hAnsi="Aptos" w:eastAsia="Microsoft YaHei"/>
                <w:color w:val="546E7A"/>
                <w:sz w:val="18"/>
              </w:rPr>
              <w:t>同工况关键指标偏差在可接受范围内</w:t>
            </w:r>
          </w:p>
        </w:tc>
        <w:tc>
          <w:tcPr>
            <w:tcW w:w="2200" w:type="dxa"/>
          </w:tcPr>
          <w:p>
            <w:pPr>
              <w:spacing w:before="80" w:after="80" w:line="300" w:lineRule="auto"/>
              <w:ind w:firstLine="0"/>
            </w:pPr>
            <w:r>
              <w:rPr>
                <w:rFonts w:ascii="Aptos" w:hAnsi="Aptos" w:eastAsia="Microsoft YaHei"/>
                <w:color w:val="546E7A"/>
                <w:sz w:val="18"/>
              </w:rPr>
              <w:t>HF_PASS / HF_FAIL</w:t>
            </w:r>
          </w:p>
        </w:tc>
      </w:tr>
      <w:tr>
        <w:trPr>
          <w:cantSplit/>
        </w:trPr>
        <w:tc>
          <w:tcPr>
            <w:tcW w:w="1700" w:type="dxa"/>
          </w:tcPr>
          <w:p>
            <w:pPr>
              <w:spacing w:before="80" w:after="80" w:line="300" w:lineRule="auto"/>
              <w:ind w:firstLine="0"/>
            </w:pPr>
            <w:r>
              <w:rPr>
                <w:rFonts w:ascii="Aptos" w:hAnsi="Aptos" w:eastAsia="Microsoft YaHei"/>
                <w:color w:val="546E7A"/>
                <w:sz w:val="18"/>
              </w:rPr>
              <w:t>鲁棒性收敛</w:t>
            </w:r>
          </w:p>
        </w:tc>
        <w:tc>
          <w:tcPr>
            <w:tcW w:w="2700" w:type="dxa"/>
          </w:tcPr>
          <w:p>
            <w:pPr>
              <w:spacing w:before="80" w:after="80" w:line="300" w:lineRule="auto"/>
              <w:ind w:firstLine="0"/>
            </w:pPr>
            <w:r>
              <w:rPr>
                <w:rFonts w:ascii="Aptos" w:hAnsi="Aptos" w:eastAsia="Microsoft YaHei"/>
                <w:color w:val="546E7A"/>
                <w:sz w:val="18"/>
              </w:rPr>
              <w:t>制造和材料扰动下是否仍满足要求</w:t>
            </w:r>
          </w:p>
        </w:tc>
        <w:tc>
          <w:tcPr>
            <w:tcW w:w="3600" w:type="dxa"/>
          </w:tcPr>
          <w:p>
            <w:pPr>
              <w:spacing w:before="80" w:after="80" w:line="300" w:lineRule="auto"/>
              <w:ind w:firstLine="0"/>
            </w:pPr>
            <w:r>
              <w:rPr>
                <w:rFonts w:ascii="Aptos" w:hAnsi="Aptos" w:eastAsia="Microsoft YaHei"/>
                <w:color w:val="546E7A"/>
                <w:sz w:val="18"/>
              </w:rPr>
              <w:t>最差工况或指定置信度下仍满足硬约束</w:t>
            </w:r>
          </w:p>
        </w:tc>
        <w:tc>
          <w:tcPr>
            <w:tcW w:w="2200" w:type="dxa"/>
          </w:tcPr>
          <w:p>
            <w:pPr>
              <w:spacing w:before="80" w:after="80" w:line="300" w:lineRule="auto"/>
              <w:ind w:firstLine="0"/>
            </w:pPr>
            <w:r>
              <w:rPr>
                <w:rFonts w:ascii="Aptos" w:hAnsi="Aptos" w:eastAsia="Microsoft YaHei"/>
                <w:color w:val="546E7A"/>
                <w:sz w:val="18"/>
              </w:rPr>
              <w:t>ROBUST / FRAGILE</w:t>
            </w:r>
          </w:p>
        </w:tc>
      </w:tr>
    </w:tbl>
    <w:p>
      <w:pPr>
        <w:pStyle w:val="Heading2"/>
      </w:pPr>
      <w:r>
        <w:t>7.2 初始验收阈值建议</w:t>
      </w:r>
    </w:p>
    <w:p>
      <w:r>
        <w:t>以下阈值仅作为项目初始配置，必须通过首批实际模型和样机数据校准，不能直接固化为行业标准：</w:t>
      </w:r>
    </w:p>
    <w:tbl>
      <w:tblPr>
        <w:tblW w:w="5000" w:type="pct"/>
        <w:tblBorders>
          <w:top w:val="single" w:color="263238" w:sz="12"/>
          <w:left w:val="nil"/>
          <w:bottom w:val="single" w:color="263238" w:sz="12"/>
          <w:right w:val="nil"/>
          <w:insideH w:val="single" w:color="CFD8DC" w:sz="4"/>
          <w:insideV w:val="nil"/>
        </w:tblBorders>
      </w:tblPr>
      <w:tblGrid>
        <w:gridCol w:w="1800"/>
        <w:gridCol w:w="2800"/>
        <w:gridCol w:w="2800"/>
        <w:gridCol w:w="2800"/>
      </w:tblGrid>
      <w:tr>
        <w:trPr>
          <w:cantSplit/>
          <w:tblHeader/>
        </w:trPr>
        <w:tc>
          <w:tcPr>
            <w:tcW w:w="1800" w:type="dxa"/>
            <w:shd w:val="clear" w:fill="ECEFF1"/>
          </w:tcPr>
          <w:p>
            <w:pPr>
              <w:spacing w:before="80" w:after="80" w:line="300" w:lineRule="auto"/>
              <w:ind w:firstLine="0"/>
            </w:pPr>
            <w:r>
              <w:rPr>
                <w:rFonts w:ascii="Aptos" w:hAnsi="Aptos" w:eastAsia="Microsoft YaHei"/>
                <w:b/>
                <w:color w:val="263238"/>
                <w:sz w:val="19"/>
              </w:rPr>
              <w:t>指标</w:t>
            </w:r>
          </w:p>
        </w:tc>
        <w:tc>
          <w:tcPr>
            <w:tcW w:w="2800" w:type="dxa"/>
            <w:shd w:val="clear" w:fill="ECEFF1"/>
          </w:tcPr>
          <w:p>
            <w:pPr>
              <w:spacing w:before="80" w:after="80" w:line="300" w:lineRule="auto"/>
              <w:ind w:firstLine="0"/>
            </w:pPr>
            <w:r>
              <w:rPr>
                <w:rFonts w:ascii="Aptos" w:hAnsi="Aptos" w:eastAsia="Microsoft YaHei"/>
                <w:b/>
                <w:color w:val="263238"/>
                <w:sz w:val="19"/>
              </w:rPr>
              <w:t>Motor-CAD内部初筛</w:t>
            </w:r>
          </w:p>
        </w:tc>
        <w:tc>
          <w:tcPr>
            <w:tcW w:w="2800" w:type="dxa"/>
            <w:shd w:val="clear" w:fill="ECEFF1"/>
          </w:tcPr>
          <w:p>
            <w:pPr>
              <w:spacing w:before="80" w:after="80" w:line="300" w:lineRule="auto"/>
              <w:ind w:firstLine="0"/>
            </w:pPr>
            <w:r>
              <w:rPr>
                <w:rFonts w:ascii="Aptos" w:hAnsi="Aptos" w:eastAsia="Microsoft YaHei"/>
                <w:b/>
                <w:color w:val="263238"/>
                <w:sz w:val="19"/>
              </w:rPr>
              <w:t>Motor-CAD vs Maxwell/JMAG</w:t>
            </w:r>
          </w:p>
        </w:tc>
        <w:tc>
          <w:tcPr>
            <w:tcW w:w="2800" w:type="dxa"/>
            <w:shd w:val="clear" w:fill="ECEFF1"/>
          </w:tcPr>
          <w:p>
            <w:pPr>
              <w:spacing w:before="80" w:after="80" w:line="300" w:lineRule="auto"/>
              <w:ind w:firstLine="0"/>
            </w:pPr>
            <w:r>
              <w:rPr>
                <w:rFonts w:ascii="Aptos" w:hAnsi="Aptos" w:eastAsia="Microsoft YaHei"/>
                <w:b/>
                <w:color w:val="263238"/>
                <w:sz w:val="19"/>
              </w:rPr>
              <w:t>说明</w:t>
            </w:r>
          </w:p>
        </w:tc>
      </w:tr>
      <w:tr>
        <w:trPr>
          <w:cantSplit/>
        </w:trPr>
        <w:tc>
          <w:tcPr>
            <w:tcW w:w="1800" w:type="dxa"/>
          </w:tcPr>
          <w:p>
            <w:pPr>
              <w:spacing w:before="80" w:after="80" w:line="300" w:lineRule="auto"/>
              <w:ind w:firstLine="0"/>
            </w:pPr>
            <w:r>
              <w:rPr>
                <w:rFonts w:ascii="Aptos" w:hAnsi="Aptos" w:eastAsia="Microsoft YaHei"/>
                <w:color w:val="546E7A"/>
                <w:sz w:val="18"/>
              </w:rPr>
              <w:t>平均转矩</w:t>
            </w:r>
          </w:p>
        </w:tc>
        <w:tc>
          <w:tcPr>
            <w:tcW w:w="2800" w:type="dxa"/>
          </w:tcPr>
          <w:p>
            <w:pPr>
              <w:spacing w:before="80" w:after="80" w:line="300" w:lineRule="auto"/>
              <w:ind w:firstLine="0"/>
            </w:pPr>
            <w:r>
              <w:rPr>
                <w:rFonts w:ascii="Aptos" w:hAnsi="Aptos" w:eastAsia="Microsoft YaHei"/>
                <w:color w:val="546E7A"/>
                <w:sz w:val="18"/>
              </w:rPr>
              <w:t>满足目标并保留建议裕量</w:t>
            </w:r>
          </w:p>
        </w:tc>
        <w:tc>
          <w:tcPr>
            <w:tcW w:w="2800" w:type="dxa"/>
          </w:tcPr>
          <w:p>
            <w:pPr>
              <w:spacing w:before="80" w:after="80" w:line="300" w:lineRule="auto"/>
              <w:ind w:firstLine="0"/>
            </w:pPr>
            <w:r>
              <w:rPr>
                <w:rFonts w:ascii="Aptos" w:hAnsi="Aptos" w:eastAsia="Microsoft YaHei"/>
                <w:color w:val="546E7A"/>
                <w:sz w:val="18"/>
              </w:rPr>
              <w:t>建议初始控制在±5%以内</w:t>
            </w:r>
          </w:p>
        </w:tc>
        <w:tc>
          <w:tcPr>
            <w:tcW w:w="2800" w:type="dxa"/>
          </w:tcPr>
          <w:p>
            <w:pPr>
              <w:spacing w:before="80" w:after="80" w:line="300" w:lineRule="auto"/>
              <w:ind w:firstLine="0"/>
            </w:pPr>
            <w:r>
              <w:rPr>
                <w:rFonts w:ascii="Aptos" w:hAnsi="Aptos" w:eastAsia="Microsoft YaHei"/>
                <w:color w:val="546E7A"/>
                <w:sz w:val="18"/>
              </w:rPr>
              <w:t>若偏差系统性存在，应建立修正系数</w:t>
            </w:r>
          </w:p>
        </w:tc>
      </w:tr>
      <w:tr>
        <w:trPr>
          <w:cantSplit/>
        </w:trPr>
        <w:tc>
          <w:tcPr>
            <w:tcW w:w="1800" w:type="dxa"/>
          </w:tcPr>
          <w:p>
            <w:pPr>
              <w:spacing w:before="80" w:after="80" w:line="300" w:lineRule="auto"/>
              <w:ind w:firstLine="0"/>
            </w:pPr>
            <w:r>
              <w:rPr>
                <w:rFonts w:ascii="Aptos" w:hAnsi="Aptos" w:eastAsia="Microsoft YaHei"/>
                <w:color w:val="546E7A"/>
                <w:sz w:val="18"/>
              </w:rPr>
              <w:t>效率</w:t>
            </w:r>
          </w:p>
        </w:tc>
        <w:tc>
          <w:tcPr>
            <w:tcW w:w="2800" w:type="dxa"/>
          </w:tcPr>
          <w:p>
            <w:pPr>
              <w:spacing w:before="80" w:after="80" w:line="300" w:lineRule="auto"/>
              <w:ind w:firstLine="0"/>
            </w:pPr>
            <w:r>
              <w:rPr>
                <w:rFonts w:ascii="Aptos" w:hAnsi="Aptos" w:eastAsia="Microsoft YaHei"/>
                <w:color w:val="546E7A"/>
                <w:sz w:val="18"/>
              </w:rPr>
              <w:t>满足目标并记录损耗分解</w:t>
            </w:r>
          </w:p>
        </w:tc>
        <w:tc>
          <w:tcPr>
            <w:tcW w:w="2800" w:type="dxa"/>
          </w:tcPr>
          <w:p>
            <w:pPr>
              <w:spacing w:before="80" w:after="80" w:line="300" w:lineRule="auto"/>
              <w:ind w:firstLine="0"/>
            </w:pPr>
            <w:r>
              <w:rPr>
                <w:rFonts w:ascii="Aptos" w:hAnsi="Aptos" w:eastAsia="Microsoft YaHei"/>
                <w:color w:val="546E7A"/>
                <w:sz w:val="18"/>
              </w:rPr>
              <w:t>建议初始控制在±0.5～1.0个百分点</w:t>
            </w:r>
          </w:p>
        </w:tc>
        <w:tc>
          <w:tcPr>
            <w:tcW w:w="2800" w:type="dxa"/>
          </w:tcPr>
          <w:p>
            <w:pPr>
              <w:spacing w:before="80" w:after="80" w:line="300" w:lineRule="auto"/>
              <w:ind w:firstLine="0"/>
            </w:pPr>
            <w:r>
              <w:rPr>
                <w:rFonts w:ascii="Aptos" w:hAnsi="Aptos" w:eastAsia="Microsoft YaHei"/>
                <w:color w:val="546E7A"/>
                <w:sz w:val="18"/>
              </w:rPr>
              <w:t>PCB交流损耗是重点风险</w:t>
            </w:r>
          </w:p>
        </w:tc>
      </w:tr>
      <w:tr>
        <w:trPr>
          <w:cantSplit/>
        </w:trPr>
        <w:tc>
          <w:tcPr>
            <w:tcW w:w="1800" w:type="dxa"/>
          </w:tcPr>
          <w:p>
            <w:pPr>
              <w:spacing w:before="80" w:after="80" w:line="300" w:lineRule="auto"/>
              <w:ind w:firstLine="0"/>
            </w:pPr>
            <w:r>
              <w:rPr>
                <w:rFonts w:ascii="Aptos" w:hAnsi="Aptos" w:eastAsia="Microsoft YaHei"/>
                <w:color w:val="546E7A"/>
                <w:sz w:val="18"/>
              </w:rPr>
              <w:t>最高温度</w:t>
            </w:r>
          </w:p>
        </w:tc>
        <w:tc>
          <w:tcPr>
            <w:tcW w:w="2800" w:type="dxa"/>
          </w:tcPr>
          <w:p>
            <w:pPr>
              <w:spacing w:before="80" w:after="80" w:line="300" w:lineRule="auto"/>
              <w:ind w:firstLine="0"/>
            </w:pPr>
            <w:r>
              <w:rPr>
                <w:rFonts w:ascii="Aptos" w:hAnsi="Aptos" w:eastAsia="Microsoft YaHei"/>
                <w:color w:val="546E7A"/>
                <w:sz w:val="18"/>
              </w:rPr>
              <w:t>低于限值并保留热裕量</w:t>
            </w:r>
          </w:p>
        </w:tc>
        <w:tc>
          <w:tcPr>
            <w:tcW w:w="2800" w:type="dxa"/>
          </w:tcPr>
          <w:p>
            <w:pPr>
              <w:spacing w:before="80" w:after="80" w:line="300" w:lineRule="auto"/>
              <w:ind w:firstLine="0"/>
            </w:pPr>
            <w:r>
              <w:rPr>
                <w:rFonts w:ascii="Aptos" w:hAnsi="Aptos" w:eastAsia="Microsoft YaHei"/>
                <w:color w:val="546E7A"/>
                <w:sz w:val="18"/>
              </w:rPr>
              <w:t>建议初始控制在±5～10 ℃</w:t>
            </w:r>
          </w:p>
        </w:tc>
        <w:tc>
          <w:tcPr>
            <w:tcW w:w="2800" w:type="dxa"/>
          </w:tcPr>
          <w:p>
            <w:pPr>
              <w:spacing w:before="80" w:after="80" w:line="300" w:lineRule="auto"/>
              <w:ind w:firstLine="0"/>
            </w:pPr>
            <w:r>
              <w:rPr>
                <w:rFonts w:ascii="Aptos" w:hAnsi="Aptos" w:eastAsia="Microsoft YaHei"/>
                <w:color w:val="546E7A"/>
                <w:sz w:val="18"/>
              </w:rPr>
              <w:t>热模型需绑定冷却边界</w:t>
            </w:r>
          </w:p>
        </w:tc>
      </w:tr>
      <w:tr>
        <w:trPr>
          <w:cantSplit/>
        </w:trPr>
        <w:tc>
          <w:tcPr>
            <w:tcW w:w="1800" w:type="dxa"/>
          </w:tcPr>
          <w:p>
            <w:pPr>
              <w:spacing w:before="80" w:after="80" w:line="300" w:lineRule="auto"/>
              <w:ind w:firstLine="0"/>
            </w:pPr>
            <w:r>
              <w:rPr>
                <w:rFonts w:ascii="Aptos" w:hAnsi="Aptos" w:eastAsia="Microsoft YaHei"/>
                <w:color w:val="546E7A"/>
                <w:sz w:val="18"/>
              </w:rPr>
              <w:t>轴向力</w:t>
            </w:r>
          </w:p>
        </w:tc>
        <w:tc>
          <w:tcPr>
            <w:tcW w:w="2800" w:type="dxa"/>
          </w:tcPr>
          <w:p>
            <w:pPr>
              <w:spacing w:before="80" w:after="80" w:line="300" w:lineRule="auto"/>
              <w:ind w:firstLine="0"/>
            </w:pPr>
            <w:r>
              <w:rPr>
                <w:rFonts w:ascii="Aptos" w:hAnsi="Aptos" w:eastAsia="Microsoft YaHei"/>
                <w:color w:val="546E7A"/>
                <w:sz w:val="18"/>
              </w:rPr>
              <w:t>识别方向与量级</w:t>
            </w:r>
          </w:p>
        </w:tc>
        <w:tc>
          <w:tcPr>
            <w:tcW w:w="2800" w:type="dxa"/>
          </w:tcPr>
          <w:p>
            <w:pPr>
              <w:spacing w:before="80" w:after="80" w:line="300" w:lineRule="auto"/>
              <w:ind w:firstLine="0"/>
            </w:pPr>
            <w:r>
              <w:rPr>
                <w:rFonts w:ascii="Aptos" w:hAnsi="Aptos" w:eastAsia="Microsoft YaHei"/>
                <w:color w:val="546E7A"/>
                <w:sz w:val="18"/>
              </w:rPr>
              <w:t>建议初始控制在±10%以内</w:t>
            </w:r>
          </w:p>
        </w:tc>
        <w:tc>
          <w:tcPr>
            <w:tcW w:w="2800" w:type="dxa"/>
          </w:tcPr>
          <w:p>
            <w:pPr>
              <w:spacing w:before="80" w:after="80" w:line="300" w:lineRule="auto"/>
              <w:ind w:firstLine="0"/>
            </w:pPr>
            <w:r>
              <w:rPr>
                <w:rFonts w:ascii="Aptos" w:hAnsi="Aptos" w:eastAsia="Microsoft YaHei"/>
                <w:color w:val="546E7A"/>
                <w:sz w:val="18"/>
              </w:rPr>
              <w:t>SSSR和装配偏心场景需重点验证</w:t>
            </w:r>
          </w:p>
        </w:tc>
      </w:tr>
      <w:tr>
        <w:trPr>
          <w:cantSplit/>
        </w:trPr>
        <w:tc>
          <w:tcPr>
            <w:tcW w:w="1800" w:type="dxa"/>
          </w:tcPr>
          <w:p>
            <w:pPr>
              <w:spacing w:before="80" w:after="80" w:line="300" w:lineRule="auto"/>
              <w:ind w:firstLine="0"/>
            </w:pPr>
            <w:r>
              <w:rPr>
                <w:rFonts w:ascii="Aptos" w:hAnsi="Aptos" w:eastAsia="Microsoft YaHei"/>
                <w:color w:val="546E7A"/>
                <w:sz w:val="18"/>
              </w:rPr>
              <w:t>转矩脉动</w:t>
            </w:r>
          </w:p>
        </w:tc>
        <w:tc>
          <w:tcPr>
            <w:tcW w:w="2800" w:type="dxa"/>
          </w:tcPr>
          <w:p>
            <w:pPr>
              <w:spacing w:before="80" w:after="80" w:line="300" w:lineRule="auto"/>
              <w:ind w:firstLine="0"/>
            </w:pPr>
            <w:r>
              <w:rPr>
                <w:rFonts w:ascii="Aptos" w:hAnsi="Aptos" w:eastAsia="Microsoft YaHei"/>
                <w:color w:val="546E7A"/>
                <w:sz w:val="18"/>
              </w:rPr>
              <w:t>作为筛选指标</w:t>
            </w:r>
          </w:p>
        </w:tc>
        <w:tc>
          <w:tcPr>
            <w:tcW w:w="2800" w:type="dxa"/>
          </w:tcPr>
          <w:p>
            <w:pPr>
              <w:spacing w:before="80" w:after="80" w:line="300" w:lineRule="auto"/>
              <w:ind w:firstLine="0"/>
            </w:pPr>
            <w:r>
              <w:rPr>
                <w:rFonts w:ascii="Aptos" w:hAnsi="Aptos" w:eastAsia="Microsoft YaHei"/>
                <w:color w:val="546E7A"/>
                <w:sz w:val="18"/>
              </w:rPr>
              <w:t>按项目目标单独定义</w:t>
            </w:r>
          </w:p>
        </w:tc>
        <w:tc>
          <w:tcPr>
            <w:tcW w:w="2800" w:type="dxa"/>
          </w:tcPr>
          <w:p>
            <w:pPr>
              <w:spacing w:before="80" w:after="80" w:line="300" w:lineRule="auto"/>
              <w:ind w:firstLine="0"/>
            </w:pPr>
            <w:r>
              <w:rPr>
                <w:rFonts w:ascii="Aptos" w:hAnsi="Aptos" w:eastAsia="Microsoft YaHei"/>
                <w:color w:val="546E7A"/>
                <w:sz w:val="18"/>
              </w:rPr>
              <w:t>对控制、NVH和PCB局部效应敏感</w:t>
            </w:r>
          </w:p>
        </w:tc>
      </w:tr>
    </w:tbl>
    <w:p>
      <w:pPr>
        <w:pStyle w:val="Heading2"/>
      </w:pPr>
      <w:r>
        <w:t>7.3 结果置信等级</w:t>
      </w:r>
    </w:p>
    <w:tbl>
      <w:tblPr>
        <w:tblW w:w="5000" w:type="pct"/>
        <w:tblBorders>
          <w:top w:val="single" w:color="263238" w:sz="12"/>
          <w:left w:val="nil"/>
          <w:bottom w:val="single" w:color="263238" w:sz="12"/>
          <w:right w:val="nil"/>
          <w:insideH w:val="single" w:color="CFD8DC" w:sz="4"/>
          <w:insideV w:val="nil"/>
        </w:tblBorders>
      </w:tblPr>
      <w:tblGrid>
        <w:gridCol w:w="900"/>
        <w:gridCol w:w="5600"/>
        <w:gridCol w:w="3500"/>
      </w:tblGrid>
      <w:tr>
        <w:trPr>
          <w:cantSplit/>
          <w:tblHeader/>
        </w:trPr>
        <w:tc>
          <w:tcPr>
            <w:tcW w:w="900" w:type="dxa"/>
            <w:shd w:val="clear" w:fill="ECEFF1"/>
          </w:tcPr>
          <w:p>
            <w:pPr>
              <w:spacing w:before="80" w:after="80" w:line="300" w:lineRule="auto"/>
              <w:ind w:firstLine="0"/>
            </w:pPr>
            <w:r>
              <w:rPr>
                <w:rFonts w:ascii="Aptos" w:hAnsi="Aptos" w:eastAsia="Microsoft YaHei"/>
                <w:b/>
                <w:color w:val="263238"/>
                <w:sz w:val="19"/>
              </w:rPr>
              <w:t>等级</w:t>
            </w:r>
          </w:p>
        </w:tc>
        <w:tc>
          <w:tcPr>
            <w:tcW w:w="5600" w:type="dxa"/>
            <w:shd w:val="clear" w:fill="ECEFF1"/>
          </w:tcPr>
          <w:p>
            <w:pPr>
              <w:spacing w:before="80" w:after="80" w:line="300" w:lineRule="auto"/>
              <w:ind w:firstLine="0"/>
            </w:pPr>
            <w:r>
              <w:rPr>
                <w:rFonts w:ascii="Aptos" w:hAnsi="Aptos" w:eastAsia="Microsoft YaHei"/>
                <w:b/>
                <w:color w:val="263238"/>
                <w:sz w:val="19"/>
              </w:rPr>
              <w:t>含义</w:t>
            </w:r>
          </w:p>
        </w:tc>
        <w:tc>
          <w:tcPr>
            <w:tcW w:w="3500" w:type="dxa"/>
            <w:shd w:val="clear" w:fill="ECEFF1"/>
          </w:tcPr>
          <w:p>
            <w:pPr>
              <w:spacing w:before="80" w:after="80" w:line="300" w:lineRule="auto"/>
              <w:ind w:firstLine="0"/>
            </w:pPr>
            <w:r>
              <w:rPr>
                <w:rFonts w:ascii="Aptos" w:hAnsi="Aptos" w:eastAsia="Microsoft YaHei"/>
                <w:b/>
                <w:color w:val="263238"/>
                <w:sz w:val="19"/>
              </w:rPr>
              <w:t>允许的用途</w:t>
            </w:r>
          </w:p>
        </w:tc>
      </w:tr>
      <w:tr>
        <w:trPr>
          <w:cantSplit/>
        </w:trPr>
        <w:tc>
          <w:tcPr>
            <w:tcW w:w="900" w:type="dxa"/>
          </w:tcPr>
          <w:p>
            <w:pPr>
              <w:spacing w:before="80" w:after="80" w:line="300" w:lineRule="auto"/>
              <w:ind w:firstLine="0"/>
            </w:pPr>
            <w:r>
              <w:rPr>
                <w:rFonts w:ascii="Aptos" w:hAnsi="Aptos" w:eastAsia="Microsoft YaHei"/>
                <w:color w:val="546E7A"/>
                <w:sz w:val="18"/>
              </w:rPr>
              <w:t>A</w:t>
            </w:r>
          </w:p>
        </w:tc>
        <w:tc>
          <w:tcPr>
            <w:tcW w:w="5600" w:type="dxa"/>
          </w:tcPr>
          <w:p>
            <w:pPr>
              <w:spacing w:before="80" w:after="80" w:line="300" w:lineRule="auto"/>
              <w:ind w:firstLine="0"/>
            </w:pPr>
            <w:r>
              <w:rPr>
                <w:rFonts w:ascii="Aptos" w:hAnsi="Aptos" w:eastAsia="Microsoft YaHei"/>
                <w:color w:val="546E7A"/>
                <w:sz w:val="18"/>
              </w:rPr>
              <w:t>完成Motor-CAD多物理场、Maxwell/JMAG高保真和扰动复核，关键指标均满足。</w:t>
            </w:r>
          </w:p>
        </w:tc>
        <w:tc>
          <w:tcPr>
            <w:tcW w:w="3500" w:type="dxa"/>
          </w:tcPr>
          <w:p>
            <w:pPr>
              <w:spacing w:before="80" w:after="80" w:line="300" w:lineRule="auto"/>
              <w:ind w:firstLine="0"/>
            </w:pPr>
            <w:r>
              <w:rPr>
                <w:rFonts w:ascii="Aptos" w:hAnsi="Aptos" w:eastAsia="Microsoft YaHei"/>
                <w:color w:val="546E7A"/>
                <w:sz w:val="18"/>
              </w:rPr>
              <w:t>设计冻结、工程评审、样机投入</w:t>
            </w:r>
          </w:p>
        </w:tc>
      </w:tr>
      <w:tr>
        <w:trPr>
          <w:cantSplit/>
        </w:trPr>
        <w:tc>
          <w:tcPr>
            <w:tcW w:w="900" w:type="dxa"/>
          </w:tcPr>
          <w:p>
            <w:pPr>
              <w:spacing w:before="80" w:after="80" w:line="300" w:lineRule="auto"/>
              <w:ind w:firstLine="0"/>
            </w:pPr>
            <w:r>
              <w:rPr>
                <w:rFonts w:ascii="Aptos" w:hAnsi="Aptos" w:eastAsia="Microsoft YaHei"/>
                <w:color w:val="546E7A"/>
                <w:sz w:val="18"/>
              </w:rPr>
              <w:t>B</w:t>
            </w:r>
          </w:p>
        </w:tc>
        <w:tc>
          <w:tcPr>
            <w:tcW w:w="5600" w:type="dxa"/>
          </w:tcPr>
          <w:p>
            <w:pPr>
              <w:spacing w:before="80" w:after="80" w:line="300" w:lineRule="auto"/>
              <w:ind w:firstLine="0"/>
            </w:pPr>
            <w:r>
              <w:rPr>
                <w:rFonts w:ascii="Aptos" w:hAnsi="Aptos" w:eastAsia="Microsoft YaHei"/>
                <w:color w:val="546E7A"/>
                <w:sz w:val="18"/>
              </w:rPr>
              <w:t>完成Motor-CAD和至少一次高保真复核，主要指标一致，鲁棒性待补充。</w:t>
            </w:r>
          </w:p>
        </w:tc>
        <w:tc>
          <w:tcPr>
            <w:tcW w:w="3500" w:type="dxa"/>
          </w:tcPr>
          <w:p>
            <w:pPr>
              <w:spacing w:before="80" w:after="80" w:line="300" w:lineRule="auto"/>
              <w:ind w:firstLine="0"/>
            </w:pPr>
            <w:r>
              <w:rPr>
                <w:rFonts w:ascii="Aptos" w:hAnsi="Aptos" w:eastAsia="Microsoft YaHei"/>
                <w:color w:val="546E7A"/>
                <w:sz w:val="18"/>
              </w:rPr>
              <w:t>方案候选、供应商沟通、详细设计输入</w:t>
            </w:r>
          </w:p>
        </w:tc>
      </w:tr>
      <w:tr>
        <w:trPr>
          <w:cantSplit/>
        </w:trPr>
        <w:tc>
          <w:tcPr>
            <w:tcW w:w="900" w:type="dxa"/>
          </w:tcPr>
          <w:p>
            <w:pPr>
              <w:spacing w:before="80" w:after="80" w:line="300" w:lineRule="auto"/>
              <w:ind w:firstLine="0"/>
            </w:pPr>
            <w:r>
              <w:rPr>
                <w:rFonts w:ascii="Aptos" w:hAnsi="Aptos" w:eastAsia="Microsoft YaHei"/>
                <w:color w:val="546E7A"/>
                <w:sz w:val="18"/>
              </w:rPr>
              <w:t>C</w:t>
            </w:r>
          </w:p>
        </w:tc>
        <w:tc>
          <w:tcPr>
            <w:tcW w:w="5600" w:type="dxa"/>
          </w:tcPr>
          <w:p>
            <w:pPr>
              <w:spacing w:before="80" w:after="80" w:line="300" w:lineRule="auto"/>
              <w:ind w:firstLine="0"/>
            </w:pPr>
            <w:r>
              <w:rPr>
                <w:rFonts w:ascii="Aptos" w:hAnsi="Aptos" w:eastAsia="Microsoft YaHei"/>
                <w:color w:val="546E7A"/>
                <w:sz w:val="18"/>
              </w:rPr>
              <w:t>只完成Motor-CAD初步验证，未完成Maxwell/JMAG校核。</w:t>
            </w:r>
          </w:p>
        </w:tc>
        <w:tc>
          <w:tcPr>
            <w:tcW w:w="3500" w:type="dxa"/>
          </w:tcPr>
          <w:p>
            <w:pPr>
              <w:spacing w:before="80" w:after="80" w:line="300" w:lineRule="auto"/>
              <w:ind w:firstLine="0"/>
            </w:pPr>
            <w:r>
              <w:rPr>
                <w:rFonts w:ascii="Aptos" w:hAnsi="Aptos" w:eastAsia="Microsoft YaHei"/>
                <w:color w:val="546E7A"/>
                <w:sz w:val="18"/>
              </w:rPr>
              <w:t>参数筛选、内部讨论，不可对外承诺</w:t>
            </w:r>
          </w:p>
        </w:tc>
      </w:tr>
      <w:tr>
        <w:trPr>
          <w:cantSplit/>
        </w:trPr>
        <w:tc>
          <w:tcPr>
            <w:tcW w:w="900" w:type="dxa"/>
          </w:tcPr>
          <w:p>
            <w:pPr>
              <w:spacing w:before="80" w:after="80" w:line="300" w:lineRule="auto"/>
              <w:ind w:firstLine="0"/>
            </w:pPr>
            <w:r>
              <w:rPr>
                <w:rFonts w:ascii="Aptos" w:hAnsi="Aptos" w:eastAsia="Microsoft YaHei"/>
                <w:color w:val="546E7A"/>
                <w:sz w:val="18"/>
              </w:rPr>
              <w:t>D</w:t>
            </w:r>
          </w:p>
        </w:tc>
        <w:tc>
          <w:tcPr>
            <w:tcW w:w="5600" w:type="dxa"/>
          </w:tcPr>
          <w:p>
            <w:pPr>
              <w:spacing w:before="80" w:after="80" w:line="300" w:lineRule="auto"/>
              <w:ind w:firstLine="0"/>
            </w:pPr>
            <w:r>
              <w:rPr>
                <w:rFonts w:ascii="Aptos" w:hAnsi="Aptos" w:eastAsia="Microsoft YaHei"/>
                <w:color w:val="546E7A"/>
                <w:sz w:val="18"/>
              </w:rPr>
              <w:t>只完成解析或代理模型预测，缺少真实仿真。</w:t>
            </w:r>
          </w:p>
        </w:tc>
        <w:tc>
          <w:tcPr>
            <w:tcW w:w="3500" w:type="dxa"/>
          </w:tcPr>
          <w:p>
            <w:pPr>
              <w:spacing w:before="80" w:after="80" w:line="300" w:lineRule="auto"/>
              <w:ind w:firstLine="0"/>
            </w:pPr>
            <w:r>
              <w:rPr>
                <w:rFonts w:ascii="Aptos" w:hAnsi="Aptos" w:eastAsia="Microsoft YaHei"/>
                <w:color w:val="546E7A"/>
                <w:sz w:val="18"/>
              </w:rPr>
              <w:t>方案生成参考，不可作为工程结论</w:t>
            </w:r>
          </w:p>
        </w:tc>
      </w:tr>
    </w:tbl>
    <w:p>
      <w:pPr>
        <w:pStyle w:val="Heading1"/>
      </w:pPr>
      <w:r>
        <w:t>八、开发实施路线与验证用例</w:t>
      </w:r>
      <w:bookmarkStart w:name="_Toc008" w:id="9092"/>
      <w:bookmarkEnd w:id="9092"/>
    </w:p>
    <w:p>
      <w:pPr>
        <w:pStyle w:val="Heading2"/>
      </w:pPr>
      <w:r>
        <w:t>8.1 建议开发优先级</w:t>
      </w:r>
    </w:p>
    <w:tbl>
      <w:tblPr>
        <w:tblW w:w="5000" w:type="pct"/>
        <w:tblBorders>
          <w:top w:val="single" w:color="263238" w:sz="12"/>
          <w:left w:val="nil"/>
          <w:bottom w:val="single" w:color="263238" w:sz="12"/>
          <w:right w:val="nil"/>
          <w:insideH w:val="single" w:color="CFD8DC" w:sz="4"/>
          <w:insideV w:val="nil"/>
        </w:tblBorders>
      </w:tblPr>
      <w:tblGrid>
        <w:gridCol w:w="1000"/>
        <w:gridCol w:w="5200"/>
        <w:gridCol w:w="3800"/>
      </w:tblGrid>
      <w:tr>
        <w:trPr>
          <w:cantSplit/>
          <w:tblHeader/>
        </w:trPr>
        <w:tc>
          <w:tcPr>
            <w:tcW w:w="1000" w:type="dxa"/>
            <w:shd w:val="clear" w:fill="ECEFF1"/>
          </w:tcPr>
          <w:p>
            <w:pPr>
              <w:spacing w:before="80" w:after="80" w:line="300" w:lineRule="auto"/>
              <w:ind w:firstLine="0"/>
            </w:pPr>
            <w:r>
              <w:rPr>
                <w:rFonts w:ascii="Aptos" w:hAnsi="Aptos" w:eastAsia="Microsoft YaHei"/>
                <w:b/>
                <w:color w:val="263238"/>
                <w:sz w:val="19"/>
              </w:rPr>
              <w:t>优先级</w:t>
            </w:r>
          </w:p>
        </w:tc>
        <w:tc>
          <w:tcPr>
            <w:tcW w:w="5200" w:type="dxa"/>
            <w:shd w:val="clear" w:fill="ECEFF1"/>
          </w:tcPr>
          <w:p>
            <w:pPr>
              <w:spacing w:before="80" w:after="80" w:line="300" w:lineRule="auto"/>
              <w:ind w:firstLine="0"/>
            </w:pPr>
            <w:r>
              <w:rPr>
                <w:rFonts w:ascii="Aptos" w:hAnsi="Aptos" w:eastAsia="Microsoft YaHei"/>
                <w:b/>
                <w:color w:val="263238"/>
                <w:sz w:val="19"/>
              </w:rPr>
              <w:t>开发内容</w:t>
            </w:r>
          </w:p>
        </w:tc>
        <w:tc>
          <w:tcPr>
            <w:tcW w:w="3800" w:type="dxa"/>
            <w:shd w:val="clear" w:fill="ECEFF1"/>
          </w:tcPr>
          <w:p>
            <w:pPr>
              <w:spacing w:before="80" w:after="80" w:line="300" w:lineRule="auto"/>
              <w:ind w:firstLine="0"/>
            </w:pPr>
            <w:r>
              <w:rPr>
                <w:rFonts w:ascii="Aptos" w:hAnsi="Aptos" w:eastAsia="Microsoft YaHei"/>
                <w:b/>
                <w:color w:val="263238"/>
                <w:sz w:val="19"/>
              </w:rPr>
              <w:t>完成判据</w:t>
            </w:r>
          </w:p>
        </w:tc>
      </w:tr>
      <w:tr>
        <w:trPr>
          <w:cantSplit/>
        </w:trPr>
        <w:tc>
          <w:tcPr>
            <w:tcW w:w="1000" w:type="dxa"/>
          </w:tcPr>
          <w:p>
            <w:pPr>
              <w:spacing w:before="80" w:after="80" w:line="300" w:lineRule="auto"/>
              <w:ind w:firstLine="0"/>
            </w:pPr>
            <w:r>
              <w:rPr>
                <w:rFonts w:ascii="Aptos" w:hAnsi="Aptos" w:eastAsia="Microsoft YaHei"/>
                <w:color w:val="546E7A"/>
                <w:sz w:val="18"/>
              </w:rPr>
              <w:t>P0</w:t>
            </w:r>
          </w:p>
        </w:tc>
        <w:tc>
          <w:tcPr>
            <w:tcW w:w="5200" w:type="dxa"/>
          </w:tcPr>
          <w:p>
            <w:pPr>
              <w:spacing w:before="80" w:after="80" w:line="300" w:lineRule="auto"/>
              <w:ind w:firstLine="0"/>
            </w:pPr>
            <w:r>
              <w:rPr>
                <w:rFonts w:ascii="Aptos" w:hAnsi="Aptos" w:eastAsia="Microsoft YaHei"/>
                <w:color w:val="546E7A"/>
                <w:sz w:val="18"/>
              </w:rPr>
              <w:t>扩展JSON Schema；增加L0规则预筛选；增加保真度等级；增加约束裕量和结果置信等级。</w:t>
            </w:r>
          </w:p>
        </w:tc>
        <w:tc>
          <w:tcPr>
            <w:tcW w:w="3800" w:type="dxa"/>
          </w:tcPr>
          <w:p>
            <w:pPr>
              <w:spacing w:before="80" w:after="80" w:line="300" w:lineRule="auto"/>
              <w:ind w:firstLine="0"/>
            </w:pPr>
            <w:r>
              <w:rPr>
                <w:rFonts w:ascii="Aptos" w:hAnsi="Aptos" w:eastAsia="Microsoft YaHei"/>
                <w:color w:val="546E7A"/>
                <w:sz w:val="18"/>
              </w:rPr>
              <w:t>同一个SSSR案例可按新Schema完整执行并回传结构化结果。</w:t>
            </w:r>
          </w:p>
        </w:tc>
      </w:tr>
      <w:tr>
        <w:trPr>
          <w:cantSplit/>
        </w:trPr>
        <w:tc>
          <w:tcPr>
            <w:tcW w:w="1000" w:type="dxa"/>
          </w:tcPr>
          <w:p>
            <w:pPr>
              <w:spacing w:before="80" w:after="80" w:line="300" w:lineRule="auto"/>
              <w:ind w:firstLine="0"/>
            </w:pPr>
            <w:r>
              <w:rPr>
                <w:rFonts w:ascii="Aptos" w:hAnsi="Aptos" w:eastAsia="Microsoft YaHei"/>
                <w:color w:val="546E7A"/>
                <w:sz w:val="18"/>
              </w:rPr>
              <w:t>P0</w:t>
            </w:r>
          </w:p>
        </w:tc>
        <w:tc>
          <w:tcPr>
            <w:tcW w:w="5200" w:type="dxa"/>
          </w:tcPr>
          <w:p>
            <w:pPr>
              <w:spacing w:before="80" w:after="80" w:line="300" w:lineRule="auto"/>
              <w:ind w:firstLine="0"/>
            </w:pPr>
            <w:r>
              <w:rPr>
                <w:rFonts w:ascii="Aptos" w:hAnsi="Aptos" w:eastAsia="Microsoft YaHei"/>
                <w:color w:val="546E7A"/>
                <w:sz w:val="18"/>
              </w:rPr>
              <w:t>将固定参数队列执行器升级为支持批次ID和增量结果的执行器。</w:t>
            </w:r>
          </w:p>
        </w:tc>
        <w:tc>
          <w:tcPr>
            <w:tcW w:w="3800" w:type="dxa"/>
          </w:tcPr>
          <w:p>
            <w:pPr>
              <w:spacing w:before="80" w:after="80" w:line="300" w:lineRule="auto"/>
              <w:ind w:firstLine="0"/>
            </w:pPr>
            <w:r>
              <w:rPr>
                <w:rFonts w:ascii="Aptos" w:hAnsi="Aptos" w:eastAsia="Microsoft YaHei"/>
                <w:color w:val="546E7A"/>
                <w:sz w:val="18"/>
              </w:rPr>
              <w:t>中断后重启不重复计算；结果可追溯模型版本。</w:t>
            </w:r>
          </w:p>
        </w:tc>
      </w:tr>
      <w:tr>
        <w:trPr>
          <w:cantSplit/>
        </w:trPr>
        <w:tc>
          <w:tcPr>
            <w:tcW w:w="1000" w:type="dxa"/>
          </w:tcPr>
          <w:p>
            <w:pPr>
              <w:spacing w:before="80" w:after="80" w:line="300" w:lineRule="auto"/>
              <w:ind w:firstLine="0"/>
            </w:pPr>
            <w:r>
              <w:rPr>
                <w:rFonts w:ascii="Aptos" w:hAnsi="Aptos" w:eastAsia="Microsoft YaHei"/>
                <w:color w:val="546E7A"/>
                <w:sz w:val="18"/>
              </w:rPr>
              <w:t>P1</w:t>
            </w:r>
          </w:p>
        </w:tc>
        <w:tc>
          <w:tcPr>
            <w:tcW w:w="5200" w:type="dxa"/>
          </w:tcPr>
          <w:p>
            <w:pPr>
              <w:spacing w:before="80" w:after="80" w:line="300" w:lineRule="auto"/>
              <w:ind w:firstLine="0"/>
            </w:pPr>
            <w:r>
              <w:rPr>
                <w:rFonts w:ascii="Aptos" w:hAnsi="Aptos" w:eastAsia="Microsoft YaHei"/>
                <w:color w:val="546E7A"/>
                <w:sz w:val="18"/>
              </w:rPr>
              <w:t>实现快速可行模式：少量初始样本＋约束贝叶斯/主动学习＋批量下发。</w:t>
            </w:r>
          </w:p>
        </w:tc>
        <w:tc>
          <w:tcPr>
            <w:tcW w:w="3800" w:type="dxa"/>
          </w:tcPr>
          <w:p>
            <w:pPr>
              <w:spacing w:before="80" w:after="80" w:line="300" w:lineRule="auto"/>
              <w:ind w:firstLine="0"/>
            </w:pPr>
            <w:r>
              <w:rPr>
                <w:rFonts w:ascii="Aptos" w:hAnsi="Aptos" w:eastAsia="Microsoft YaHei"/>
                <w:color w:val="546E7A"/>
                <w:sz w:val="18"/>
              </w:rPr>
              <w:t>在相同预算下比固定LHS更快找到可行点。</w:t>
            </w:r>
          </w:p>
        </w:tc>
      </w:tr>
      <w:tr>
        <w:trPr>
          <w:cantSplit/>
        </w:trPr>
        <w:tc>
          <w:tcPr>
            <w:tcW w:w="1000" w:type="dxa"/>
          </w:tcPr>
          <w:p>
            <w:pPr>
              <w:spacing w:before="80" w:after="80" w:line="300" w:lineRule="auto"/>
              <w:ind w:firstLine="0"/>
            </w:pPr>
            <w:r>
              <w:rPr>
                <w:rFonts w:ascii="Aptos" w:hAnsi="Aptos" w:eastAsia="Microsoft YaHei"/>
                <w:color w:val="546E7A"/>
                <w:sz w:val="18"/>
              </w:rPr>
              <w:t>P1</w:t>
            </w:r>
          </w:p>
        </w:tc>
        <w:tc>
          <w:tcPr>
            <w:tcW w:w="5200" w:type="dxa"/>
          </w:tcPr>
          <w:p>
            <w:pPr>
              <w:spacing w:before="80" w:after="80" w:line="300" w:lineRule="auto"/>
              <w:ind w:firstLine="0"/>
            </w:pPr>
            <w:r>
              <w:rPr>
                <w:rFonts w:ascii="Aptos" w:hAnsi="Aptos" w:eastAsia="Microsoft YaHei"/>
                <w:color w:val="546E7A"/>
                <w:sz w:val="18"/>
              </w:rPr>
              <w:t>接入Motor-CAD Lab/Therm关键工况复核。</w:t>
            </w:r>
          </w:p>
        </w:tc>
        <w:tc>
          <w:tcPr>
            <w:tcW w:w="3800" w:type="dxa"/>
          </w:tcPr>
          <w:p>
            <w:pPr>
              <w:spacing w:before="80" w:after="80" w:line="300" w:lineRule="auto"/>
              <w:ind w:firstLine="0"/>
            </w:pPr>
            <w:r>
              <w:rPr>
                <w:rFonts w:ascii="Aptos" w:hAnsi="Aptos" w:eastAsia="Microsoft YaHei"/>
                <w:color w:val="546E7A"/>
                <w:sz w:val="18"/>
              </w:rPr>
              <w:t>候选方案能输出效率图摘要和温升结果。</w:t>
            </w:r>
          </w:p>
        </w:tc>
      </w:tr>
      <w:tr>
        <w:trPr>
          <w:cantSplit/>
        </w:trPr>
        <w:tc>
          <w:tcPr>
            <w:tcW w:w="1000" w:type="dxa"/>
          </w:tcPr>
          <w:p>
            <w:pPr>
              <w:spacing w:before="80" w:after="80" w:line="300" w:lineRule="auto"/>
              <w:ind w:firstLine="0"/>
            </w:pPr>
            <w:r>
              <w:rPr>
                <w:rFonts w:ascii="Aptos" w:hAnsi="Aptos" w:eastAsia="Microsoft YaHei"/>
                <w:color w:val="546E7A"/>
                <w:sz w:val="18"/>
              </w:rPr>
              <w:t>P2</w:t>
            </w:r>
          </w:p>
        </w:tc>
        <w:tc>
          <w:tcPr>
            <w:tcW w:w="5200" w:type="dxa"/>
          </w:tcPr>
          <w:p>
            <w:pPr>
              <w:spacing w:before="80" w:after="80" w:line="300" w:lineRule="auto"/>
              <w:ind w:firstLine="0"/>
            </w:pPr>
            <w:r>
              <w:rPr>
                <w:rFonts w:ascii="Aptos" w:hAnsi="Aptos" w:eastAsia="Microsoft YaHei"/>
                <w:color w:val="546E7A"/>
                <w:sz w:val="18"/>
              </w:rPr>
              <w:t>实现Maxwell或JMAG高保真适配器和偏差校准表。</w:t>
            </w:r>
          </w:p>
        </w:tc>
        <w:tc>
          <w:tcPr>
            <w:tcW w:w="3800" w:type="dxa"/>
          </w:tcPr>
          <w:p>
            <w:pPr>
              <w:spacing w:before="80" w:after="80" w:line="300" w:lineRule="auto"/>
              <w:ind w:firstLine="0"/>
            </w:pPr>
            <w:r>
              <w:rPr>
                <w:rFonts w:ascii="Aptos" w:hAnsi="Aptos" w:eastAsia="Microsoft YaHei"/>
                <w:color w:val="546E7A"/>
                <w:sz w:val="18"/>
              </w:rPr>
              <w:t>同一候选方案可自动对比低/高保真关键指标。</w:t>
            </w:r>
          </w:p>
        </w:tc>
      </w:tr>
      <w:tr>
        <w:trPr>
          <w:cantSplit/>
        </w:trPr>
        <w:tc>
          <w:tcPr>
            <w:tcW w:w="1000" w:type="dxa"/>
          </w:tcPr>
          <w:p>
            <w:pPr>
              <w:spacing w:before="80" w:after="80" w:line="300" w:lineRule="auto"/>
              <w:ind w:firstLine="0"/>
            </w:pPr>
            <w:r>
              <w:rPr>
                <w:rFonts w:ascii="Aptos" w:hAnsi="Aptos" w:eastAsia="Microsoft YaHei"/>
                <w:color w:val="546E7A"/>
                <w:sz w:val="18"/>
              </w:rPr>
              <w:t>P2</w:t>
            </w:r>
          </w:p>
        </w:tc>
        <w:tc>
          <w:tcPr>
            <w:tcW w:w="5200" w:type="dxa"/>
          </w:tcPr>
          <w:p>
            <w:pPr>
              <w:spacing w:before="80" w:after="80" w:line="300" w:lineRule="auto"/>
              <w:ind w:firstLine="0"/>
            </w:pPr>
            <w:r>
              <w:rPr>
                <w:rFonts w:ascii="Aptos" w:hAnsi="Aptos" w:eastAsia="Microsoft YaHei"/>
                <w:color w:val="546E7A"/>
                <w:sz w:val="18"/>
              </w:rPr>
              <w:t>支持Motor-CAD多实例并行和缓存键。</w:t>
            </w:r>
          </w:p>
        </w:tc>
        <w:tc>
          <w:tcPr>
            <w:tcW w:w="3800" w:type="dxa"/>
          </w:tcPr>
          <w:p>
            <w:pPr>
              <w:spacing w:before="80" w:after="80" w:line="300" w:lineRule="auto"/>
              <w:ind w:firstLine="0"/>
            </w:pPr>
            <w:r>
              <w:rPr>
                <w:rFonts w:ascii="Aptos" w:hAnsi="Aptos" w:eastAsia="Microsoft YaHei"/>
                <w:color w:val="546E7A"/>
                <w:sz w:val="18"/>
              </w:rPr>
              <w:t>并行结果与串行结果一致，且无模型文件污染。</w:t>
            </w:r>
          </w:p>
        </w:tc>
      </w:tr>
      <w:tr>
        <w:trPr>
          <w:cantSplit/>
        </w:trPr>
        <w:tc>
          <w:tcPr>
            <w:tcW w:w="1000" w:type="dxa"/>
          </w:tcPr>
          <w:p>
            <w:pPr>
              <w:spacing w:before="80" w:after="80" w:line="300" w:lineRule="auto"/>
              <w:ind w:firstLine="0"/>
            </w:pPr>
            <w:r>
              <w:rPr>
                <w:rFonts w:ascii="Aptos" w:hAnsi="Aptos" w:eastAsia="Microsoft YaHei"/>
                <w:color w:val="546E7A"/>
                <w:sz w:val="18"/>
              </w:rPr>
              <w:t>P3</w:t>
            </w:r>
          </w:p>
        </w:tc>
        <w:tc>
          <w:tcPr>
            <w:tcW w:w="5200" w:type="dxa"/>
          </w:tcPr>
          <w:p>
            <w:pPr>
              <w:spacing w:before="80" w:after="80" w:line="300" w:lineRule="auto"/>
              <w:ind w:firstLine="0"/>
            </w:pPr>
            <w:r>
              <w:rPr>
                <w:rFonts w:ascii="Aptos" w:hAnsi="Aptos" w:eastAsia="Microsoft YaHei"/>
                <w:color w:val="546E7A"/>
                <w:sz w:val="18"/>
              </w:rPr>
              <w:t>加入制造扰动和鲁棒性评估。</w:t>
            </w:r>
          </w:p>
        </w:tc>
        <w:tc>
          <w:tcPr>
            <w:tcW w:w="3800" w:type="dxa"/>
          </w:tcPr>
          <w:p>
            <w:pPr>
              <w:spacing w:before="80" w:after="80" w:line="300" w:lineRule="auto"/>
              <w:ind w:firstLine="0"/>
            </w:pPr>
            <w:r>
              <w:rPr>
                <w:rFonts w:ascii="Aptos" w:hAnsi="Aptos" w:eastAsia="Microsoft YaHei"/>
                <w:color w:val="546E7A"/>
                <w:sz w:val="18"/>
              </w:rPr>
              <w:t>输出最差工况和A/B/C/D置信等级。</w:t>
            </w:r>
          </w:p>
        </w:tc>
      </w:tr>
    </w:tbl>
    <w:p>
      <w:pPr>
        <w:pStyle w:val="Heading2"/>
      </w:pPr>
      <w:r>
        <w:t>8.2 最小验证用例</w:t>
      </w:r>
    </w:p>
    <w:p>
      <w:r>
        <w:t>建议使用现有SSSR基准模型做三组对比验证：</w:t>
      </w:r>
    </w:p>
    <w:p>
      <w:pPr>
        <w:pStyle w:val="Bullet"/>
      </w:pPr>
      <w:r>
        <w:t>路径A：固定LHS＋Kriging＋NSGA-II，验证现有第6章流程。</w:t>
      </w:r>
    </w:p>
    <w:p>
      <w:pPr>
        <w:pStyle w:val="Bullet"/>
      </w:pPr>
      <w:r>
        <w:t>路径B：L0预筛选＋约束贝叶斯/主动学习，验证快速可行模式。</w:t>
      </w:r>
    </w:p>
    <w:p>
      <w:pPr>
        <w:pStyle w:val="Bullet"/>
      </w:pPr>
      <w:r>
        <w:t>路径C：路径B选出的Top 1～3候选进入Maxwell/JMAG，验证跨工具一致性和校准机制。</w:t>
      </w:r>
    </w:p>
    <w:p>
      <w:r>
        <w:t>对比指标不应只包括最终性能，还应包括总仿真次数、墙钟时间、可行点出现时间、代理模型误差、高保真偏差和工程师人工干预次数。</w:t>
      </w:r>
    </w:p>
    <w:p>
      <w:pPr>
        <w:pStyle w:val="Heading2"/>
      </w:pPr>
      <w:r>
        <w:t>8.3 开发交付物</w:t>
      </w:r>
    </w:p>
    <w:p>
      <w:pPr>
        <w:pStyle w:val="Bullet"/>
      </w:pPr>
      <w:r>
        <w:t>《仿真策略与保真度分级规范》</w:t>
      </w:r>
    </w:p>
    <w:p>
      <w:pPr>
        <w:pStyle w:val="Bullet"/>
      </w:pPr>
      <w:r>
        <w:t>《simulation_plan.json Schema V1.1》</w:t>
      </w:r>
    </w:p>
    <w:p>
      <w:pPr>
        <w:pStyle w:val="Bullet"/>
      </w:pPr>
      <w:r>
        <w:t>《simulation_results.json Schema V1.1》</w:t>
      </w:r>
    </w:p>
    <w:p>
      <w:pPr>
        <w:pStyle w:val="Bullet"/>
      </w:pPr>
      <w:r>
        <w:t>Motor-CAD适配器V0.2和并行任务池</w:t>
      </w:r>
    </w:p>
    <w:p>
      <w:pPr>
        <w:pStyle w:val="Bullet"/>
      </w:pPr>
      <w:r>
        <w:t>Maxwell/JMAG高保真校核适配器原型</w:t>
      </w:r>
    </w:p>
    <w:p>
      <w:pPr>
        <w:pStyle w:val="Bullet"/>
      </w:pPr>
      <w:r>
        <w:t>三条路径的对比验证报告</w:t>
      </w:r>
    </w:p>
    <w:p>
      <w:pPr>
        <w:pStyle w:val="Bullet"/>
      </w:pPr>
      <w:r>
        <w:t>PCB等效模型字典和跨工具校准表模板</w:t>
      </w:r>
    </w:p>
    <w:p>
      <w:pPr>
        <w:pStyle w:val="Heading1"/>
      </w:pPr>
      <w:r>
        <w:t>九、主要风险与待确认问题</w:t>
      </w:r>
      <w:bookmarkStart w:name="_Toc009" w:id="76115"/>
      <w:bookmarkEnd w:id="76115"/>
    </w:p>
    <w:p>
      <w:pPr>
        <w:pStyle w:val="Heading2"/>
      </w:pPr>
      <w:r>
        <w:t>9.1 主要风险</w:t>
      </w:r>
    </w:p>
    <w:tbl>
      <w:tblPr>
        <w:tblW w:w="5000" w:type="pct"/>
        <w:tblBorders>
          <w:top w:val="single" w:color="263238" w:sz="12"/>
          <w:left w:val="nil"/>
          <w:bottom w:val="single" w:color="263238" w:sz="12"/>
          <w:right w:val="nil"/>
          <w:insideH w:val="single" w:color="CFD8DC" w:sz="4"/>
          <w:insideV w:val="nil"/>
        </w:tblBorders>
      </w:tblPr>
      <w:tblGrid>
        <w:gridCol w:w="2300"/>
        <w:gridCol w:w="3100"/>
        <w:gridCol w:w="1000"/>
        <w:gridCol w:w="3600"/>
      </w:tblGrid>
      <w:tr>
        <w:trPr>
          <w:cantSplit/>
          <w:tblHeader/>
        </w:trPr>
        <w:tc>
          <w:tcPr>
            <w:tcW w:w="2300" w:type="dxa"/>
            <w:shd w:val="clear" w:fill="ECEFF1"/>
          </w:tcPr>
          <w:p>
            <w:pPr>
              <w:spacing w:before="80" w:after="80" w:line="300" w:lineRule="auto"/>
              <w:ind w:firstLine="0"/>
            </w:pPr>
            <w:r>
              <w:rPr>
                <w:rFonts w:ascii="Aptos" w:hAnsi="Aptos" w:eastAsia="Microsoft YaHei"/>
                <w:b/>
                <w:color w:val="263238"/>
                <w:sz w:val="19"/>
              </w:rPr>
              <w:t>风险</w:t>
            </w:r>
          </w:p>
        </w:tc>
        <w:tc>
          <w:tcPr>
            <w:tcW w:w="3100" w:type="dxa"/>
            <w:shd w:val="clear" w:fill="ECEFF1"/>
          </w:tcPr>
          <w:p>
            <w:pPr>
              <w:spacing w:before="80" w:after="80" w:line="300" w:lineRule="auto"/>
              <w:ind w:firstLine="0"/>
            </w:pPr>
            <w:r>
              <w:rPr>
                <w:rFonts w:ascii="Aptos" w:hAnsi="Aptos" w:eastAsia="Microsoft YaHei"/>
                <w:b/>
                <w:color w:val="263238"/>
                <w:sz w:val="19"/>
              </w:rPr>
              <w:t>表现</w:t>
            </w:r>
          </w:p>
        </w:tc>
        <w:tc>
          <w:tcPr>
            <w:tcW w:w="1000" w:type="dxa"/>
            <w:shd w:val="clear" w:fill="ECEFF1"/>
          </w:tcPr>
          <w:p>
            <w:pPr>
              <w:spacing w:before="80" w:after="80" w:line="300" w:lineRule="auto"/>
              <w:ind w:firstLine="0"/>
            </w:pPr>
            <w:r>
              <w:rPr>
                <w:rFonts w:ascii="Aptos" w:hAnsi="Aptos" w:eastAsia="Microsoft YaHei"/>
                <w:b/>
                <w:color w:val="263238"/>
                <w:sz w:val="19"/>
              </w:rPr>
              <w:t>等级</w:t>
            </w:r>
          </w:p>
        </w:tc>
        <w:tc>
          <w:tcPr>
            <w:tcW w:w="3600" w:type="dxa"/>
            <w:shd w:val="clear" w:fill="ECEFF1"/>
          </w:tcPr>
          <w:p>
            <w:pPr>
              <w:spacing w:before="80" w:after="80" w:line="300" w:lineRule="auto"/>
              <w:ind w:firstLine="0"/>
            </w:pPr>
            <w:r>
              <w:rPr>
                <w:rFonts w:ascii="Aptos" w:hAnsi="Aptos" w:eastAsia="Microsoft YaHei"/>
                <w:b/>
                <w:color w:val="263238"/>
                <w:sz w:val="19"/>
              </w:rPr>
              <w:t>控制措施</w:t>
            </w:r>
          </w:p>
        </w:tc>
      </w:tr>
      <w:tr>
        <w:trPr>
          <w:cantSplit/>
        </w:trPr>
        <w:tc>
          <w:tcPr>
            <w:tcW w:w="2300" w:type="dxa"/>
          </w:tcPr>
          <w:p>
            <w:pPr>
              <w:spacing w:before="80" w:after="80" w:line="300" w:lineRule="auto"/>
              <w:ind w:firstLine="0"/>
            </w:pPr>
            <w:r>
              <w:rPr>
                <w:rFonts w:ascii="Aptos" w:hAnsi="Aptos" w:eastAsia="Microsoft YaHei"/>
                <w:color w:val="546E7A"/>
                <w:sz w:val="18"/>
              </w:rPr>
              <w:t>PCB近似模型系统性偏差</w:t>
            </w:r>
          </w:p>
        </w:tc>
        <w:tc>
          <w:tcPr>
            <w:tcW w:w="3100" w:type="dxa"/>
          </w:tcPr>
          <w:p>
            <w:pPr>
              <w:spacing w:before="80" w:after="80" w:line="300" w:lineRule="auto"/>
              <w:ind w:firstLine="0"/>
            </w:pPr>
            <w:r>
              <w:rPr>
                <w:rFonts w:ascii="Aptos" w:hAnsi="Aptos" w:eastAsia="Microsoft YaHei"/>
                <w:color w:val="546E7A"/>
                <w:sz w:val="18"/>
              </w:rPr>
              <w:t>Motor-CAD效率、温升或损耗持续偏离Maxwell/JMAG。</w:t>
            </w:r>
          </w:p>
        </w:tc>
        <w:tc>
          <w:tcPr>
            <w:tcW w:w="1000" w:type="dxa"/>
          </w:tcPr>
          <w:p>
            <w:pPr>
              <w:spacing w:before="80" w:after="80" w:line="300" w:lineRule="auto"/>
              <w:ind w:firstLine="0"/>
            </w:pPr>
            <w:r>
              <w:rPr>
                <w:rFonts w:ascii="Aptos" w:hAnsi="Aptos" w:eastAsia="Microsoft YaHei"/>
                <w:color w:val="546E7A"/>
                <w:sz w:val="18"/>
              </w:rPr>
              <w:t>高</w:t>
            </w:r>
          </w:p>
        </w:tc>
        <w:tc>
          <w:tcPr>
            <w:tcW w:w="3600" w:type="dxa"/>
          </w:tcPr>
          <w:p>
            <w:pPr>
              <w:spacing w:before="80" w:after="80" w:line="300" w:lineRule="auto"/>
              <w:ind w:firstLine="0"/>
            </w:pPr>
            <w:r>
              <w:rPr>
                <w:rFonts w:ascii="Aptos" w:hAnsi="Aptos" w:eastAsia="Microsoft YaHei"/>
                <w:color w:val="546E7A"/>
                <w:sz w:val="18"/>
              </w:rPr>
              <w:t>建立校准系数；关键指标必须高保真复核；偏差反哺代理模型。</w:t>
            </w:r>
          </w:p>
        </w:tc>
      </w:tr>
      <w:tr>
        <w:trPr>
          <w:cantSplit/>
        </w:trPr>
        <w:tc>
          <w:tcPr>
            <w:tcW w:w="2300" w:type="dxa"/>
          </w:tcPr>
          <w:p>
            <w:pPr>
              <w:spacing w:before="80" w:after="80" w:line="300" w:lineRule="auto"/>
              <w:ind w:firstLine="0"/>
            </w:pPr>
            <w:r>
              <w:rPr>
                <w:rFonts w:ascii="Aptos" w:hAnsi="Aptos" w:eastAsia="Microsoft YaHei"/>
                <w:color w:val="546E7A"/>
                <w:sz w:val="18"/>
              </w:rPr>
              <w:t>轴向磁通3D效应</w:t>
            </w:r>
          </w:p>
        </w:tc>
        <w:tc>
          <w:tcPr>
            <w:tcW w:w="3100" w:type="dxa"/>
          </w:tcPr>
          <w:p>
            <w:pPr>
              <w:spacing w:before="80" w:after="80" w:line="300" w:lineRule="auto"/>
              <w:ind w:firstLine="0"/>
            </w:pPr>
            <w:r>
              <w:rPr>
                <w:rFonts w:ascii="Aptos" w:hAnsi="Aptos" w:eastAsia="Microsoft YaHei"/>
                <w:color w:val="546E7A"/>
                <w:sz w:val="18"/>
              </w:rPr>
              <w:t>漏磁、边缘效应和局部饱和导致转矩或轴向力偏差。</w:t>
            </w:r>
          </w:p>
        </w:tc>
        <w:tc>
          <w:tcPr>
            <w:tcW w:w="1000" w:type="dxa"/>
          </w:tcPr>
          <w:p>
            <w:pPr>
              <w:spacing w:before="80" w:after="80" w:line="300" w:lineRule="auto"/>
              <w:ind w:firstLine="0"/>
            </w:pPr>
            <w:r>
              <w:rPr>
                <w:rFonts w:ascii="Aptos" w:hAnsi="Aptos" w:eastAsia="Microsoft YaHei"/>
                <w:color w:val="546E7A"/>
                <w:sz w:val="18"/>
              </w:rPr>
              <w:t>高</w:t>
            </w:r>
          </w:p>
        </w:tc>
        <w:tc>
          <w:tcPr>
            <w:tcW w:w="3600" w:type="dxa"/>
          </w:tcPr>
          <w:p>
            <w:pPr>
              <w:spacing w:before="80" w:after="80" w:line="300" w:lineRule="auto"/>
              <w:ind w:firstLine="0"/>
            </w:pPr>
            <w:r>
              <w:rPr>
                <w:rFonts w:ascii="Aptos" w:hAnsi="Aptos" w:eastAsia="Microsoft YaHei"/>
                <w:color w:val="546E7A"/>
                <w:sz w:val="18"/>
              </w:rPr>
              <w:t>Motor-CAD只用于筛选；最终候选必须做3D FEA。</w:t>
            </w:r>
          </w:p>
        </w:tc>
      </w:tr>
      <w:tr>
        <w:trPr>
          <w:cantSplit/>
        </w:trPr>
        <w:tc>
          <w:tcPr>
            <w:tcW w:w="2300" w:type="dxa"/>
          </w:tcPr>
          <w:p>
            <w:pPr>
              <w:spacing w:before="80" w:after="80" w:line="300" w:lineRule="auto"/>
              <w:ind w:firstLine="0"/>
            </w:pPr>
            <w:r>
              <w:rPr>
                <w:rFonts w:ascii="Aptos" w:hAnsi="Aptos" w:eastAsia="Microsoft YaHei"/>
                <w:color w:val="546E7A"/>
                <w:sz w:val="18"/>
              </w:rPr>
              <w:t>自适应算法不可解释</w:t>
            </w:r>
          </w:p>
        </w:tc>
        <w:tc>
          <w:tcPr>
            <w:tcW w:w="3100" w:type="dxa"/>
          </w:tcPr>
          <w:p>
            <w:pPr>
              <w:spacing w:before="80" w:after="80" w:line="300" w:lineRule="auto"/>
              <w:ind w:firstLine="0"/>
            </w:pPr>
            <w:r>
              <w:rPr>
                <w:rFonts w:ascii="Aptos" w:hAnsi="Aptos" w:eastAsia="Microsoft YaHei"/>
                <w:color w:val="546E7A"/>
                <w:sz w:val="18"/>
              </w:rPr>
              <w:t>工程师不理解为什么推荐某个点。</w:t>
            </w:r>
          </w:p>
        </w:tc>
        <w:tc>
          <w:tcPr>
            <w:tcW w:w="1000" w:type="dxa"/>
          </w:tcPr>
          <w:p>
            <w:pPr>
              <w:spacing w:before="80" w:after="80" w:line="300" w:lineRule="auto"/>
              <w:ind w:firstLine="0"/>
            </w:pPr>
            <w:r>
              <w:rPr>
                <w:rFonts w:ascii="Aptos" w:hAnsi="Aptos" w:eastAsia="Microsoft YaHei"/>
                <w:color w:val="546E7A"/>
                <w:sz w:val="18"/>
              </w:rPr>
              <w:t>中高</w:t>
            </w:r>
          </w:p>
        </w:tc>
        <w:tc>
          <w:tcPr>
            <w:tcW w:w="3600" w:type="dxa"/>
          </w:tcPr>
          <w:p>
            <w:pPr>
              <w:spacing w:before="80" w:after="80" w:line="300" w:lineRule="auto"/>
              <w:ind w:firstLine="0"/>
            </w:pPr>
            <w:r>
              <w:rPr>
                <w:rFonts w:ascii="Aptos" w:hAnsi="Aptos" w:eastAsia="Microsoft YaHei"/>
                <w:color w:val="546E7A"/>
                <w:sz w:val="18"/>
              </w:rPr>
              <w:t>每个推荐点输出来源、预测值、不确定度和约束概率。</w:t>
            </w:r>
          </w:p>
        </w:tc>
      </w:tr>
      <w:tr>
        <w:trPr>
          <w:cantSplit/>
        </w:trPr>
        <w:tc>
          <w:tcPr>
            <w:tcW w:w="2300" w:type="dxa"/>
          </w:tcPr>
          <w:p>
            <w:pPr>
              <w:spacing w:before="80" w:after="80" w:line="300" w:lineRule="auto"/>
              <w:ind w:firstLine="0"/>
            </w:pPr>
            <w:r>
              <w:rPr>
                <w:rFonts w:ascii="Aptos" w:hAnsi="Aptos" w:eastAsia="Microsoft YaHei"/>
                <w:color w:val="546E7A"/>
                <w:sz w:val="18"/>
              </w:rPr>
              <w:t>经验库冷启动污染</w:t>
            </w:r>
          </w:p>
        </w:tc>
        <w:tc>
          <w:tcPr>
            <w:tcW w:w="3100" w:type="dxa"/>
          </w:tcPr>
          <w:p>
            <w:pPr>
              <w:spacing w:before="80" w:after="80" w:line="300" w:lineRule="auto"/>
              <w:ind w:firstLine="0"/>
            </w:pPr>
            <w:r>
              <w:rPr>
                <w:rFonts w:ascii="Aptos" w:hAnsi="Aptos" w:eastAsia="Microsoft YaHei"/>
                <w:color w:val="546E7A"/>
                <w:sz w:val="18"/>
              </w:rPr>
              <w:t>不同模型版本或错误结果被当成可复用经验。</w:t>
            </w:r>
          </w:p>
        </w:tc>
        <w:tc>
          <w:tcPr>
            <w:tcW w:w="1000" w:type="dxa"/>
          </w:tcPr>
          <w:p>
            <w:pPr>
              <w:spacing w:before="80" w:after="80" w:line="300" w:lineRule="auto"/>
              <w:ind w:firstLine="0"/>
            </w:pPr>
            <w:r>
              <w:rPr>
                <w:rFonts w:ascii="Aptos" w:hAnsi="Aptos" w:eastAsia="Microsoft YaHei"/>
                <w:color w:val="546E7A"/>
                <w:sz w:val="18"/>
              </w:rPr>
              <w:t>中高</w:t>
            </w:r>
          </w:p>
        </w:tc>
        <w:tc>
          <w:tcPr>
            <w:tcW w:w="3600" w:type="dxa"/>
          </w:tcPr>
          <w:p>
            <w:pPr>
              <w:spacing w:before="80" w:after="80" w:line="300" w:lineRule="auto"/>
              <w:ind w:firstLine="0"/>
            </w:pPr>
            <w:r>
              <w:rPr>
                <w:rFonts w:ascii="Aptos" w:hAnsi="Aptos" w:eastAsia="Microsoft YaHei"/>
                <w:color w:val="546E7A"/>
                <w:sz w:val="18"/>
              </w:rPr>
              <w:t>所有经验绑定模型版本、保真度和置信等级；专家审核后入库。</w:t>
            </w:r>
          </w:p>
        </w:tc>
      </w:tr>
      <w:tr>
        <w:trPr>
          <w:cantSplit/>
        </w:trPr>
        <w:tc>
          <w:tcPr>
            <w:tcW w:w="2300" w:type="dxa"/>
          </w:tcPr>
          <w:p>
            <w:pPr>
              <w:spacing w:before="80" w:after="80" w:line="300" w:lineRule="auto"/>
              <w:ind w:firstLine="0"/>
            </w:pPr>
            <w:r>
              <w:rPr>
                <w:rFonts w:ascii="Aptos" w:hAnsi="Aptos" w:eastAsia="Microsoft YaHei"/>
                <w:color w:val="546E7A"/>
                <w:sz w:val="18"/>
              </w:rPr>
              <w:t>并行许可和文件冲突</w:t>
            </w:r>
          </w:p>
        </w:tc>
        <w:tc>
          <w:tcPr>
            <w:tcW w:w="3100" w:type="dxa"/>
          </w:tcPr>
          <w:p>
            <w:pPr>
              <w:spacing w:before="80" w:after="80" w:line="300" w:lineRule="auto"/>
              <w:ind w:firstLine="0"/>
            </w:pPr>
            <w:r>
              <w:rPr>
                <w:rFonts w:ascii="Aptos" w:hAnsi="Aptos" w:eastAsia="Microsoft YaHei"/>
                <w:color w:val="546E7A"/>
                <w:sz w:val="18"/>
              </w:rPr>
              <w:t>多实例启动失败、模型文件互相覆盖。</w:t>
            </w:r>
          </w:p>
        </w:tc>
        <w:tc>
          <w:tcPr>
            <w:tcW w:w="1000" w:type="dxa"/>
          </w:tcPr>
          <w:p>
            <w:pPr>
              <w:spacing w:before="80" w:after="80" w:line="300" w:lineRule="auto"/>
              <w:ind w:firstLine="0"/>
            </w:pPr>
            <w:r>
              <w:rPr>
                <w:rFonts w:ascii="Aptos" w:hAnsi="Aptos" w:eastAsia="Microsoft YaHei"/>
                <w:color w:val="546E7A"/>
                <w:sz w:val="18"/>
              </w:rPr>
              <w:t>中</w:t>
            </w:r>
          </w:p>
        </w:tc>
        <w:tc>
          <w:tcPr>
            <w:tcW w:w="3600" w:type="dxa"/>
          </w:tcPr>
          <w:p>
            <w:pPr>
              <w:spacing w:before="80" w:after="80" w:line="300" w:lineRule="auto"/>
              <w:ind w:firstLine="0"/>
            </w:pPr>
            <w:r>
              <w:rPr>
                <w:rFonts w:ascii="Aptos" w:hAnsi="Aptos" w:eastAsia="Microsoft YaHei"/>
                <w:color w:val="546E7A"/>
                <w:sz w:val="18"/>
              </w:rPr>
              <w:t>独立工作目录、模型副本、许可检测和任务队列。</w:t>
            </w:r>
          </w:p>
        </w:tc>
      </w:tr>
      <w:tr>
        <w:trPr>
          <w:cantSplit/>
        </w:trPr>
        <w:tc>
          <w:tcPr>
            <w:tcW w:w="2300" w:type="dxa"/>
          </w:tcPr>
          <w:p>
            <w:pPr>
              <w:spacing w:before="80" w:after="80" w:line="300" w:lineRule="auto"/>
              <w:ind w:firstLine="0"/>
            </w:pPr>
            <w:r>
              <w:rPr>
                <w:rFonts w:ascii="Aptos" w:hAnsi="Aptos" w:eastAsia="Microsoft YaHei"/>
                <w:color w:val="546E7A"/>
                <w:sz w:val="18"/>
              </w:rPr>
              <w:t>优化目标定义不完整</w:t>
            </w:r>
          </w:p>
        </w:tc>
        <w:tc>
          <w:tcPr>
            <w:tcW w:w="3100" w:type="dxa"/>
          </w:tcPr>
          <w:p>
            <w:pPr>
              <w:spacing w:before="80" w:after="80" w:line="300" w:lineRule="auto"/>
              <w:ind w:firstLine="0"/>
            </w:pPr>
            <w:r>
              <w:rPr>
                <w:rFonts w:ascii="Aptos" w:hAnsi="Aptos" w:eastAsia="Microsoft YaHei"/>
                <w:color w:val="546E7A"/>
                <w:sz w:val="18"/>
              </w:rPr>
              <w:t>收敛到名义最优但工程不可制造。</w:t>
            </w:r>
          </w:p>
        </w:tc>
        <w:tc>
          <w:tcPr>
            <w:tcW w:w="1000" w:type="dxa"/>
          </w:tcPr>
          <w:p>
            <w:pPr>
              <w:spacing w:before="80" w:after="80" w:line="300" w:lineRule="auto"/>
              <w:ind w:firstLine="0"/>
            </w:pPr>
            <w:r>
              <w:rPr>
                <w:rFonts w:ascii="Aptos" w:hAnsi="Aptos" w:eastAsia="Microsoft YaHei"/>
                <w:color w:val="546E7A"/>
                <w:sz w:val="18"/>
              </w:rPr>
              <w:t>高</w:t>
            </w:r>
          </w:p>
        </w:tc>
        <w:tc>
          <w:tcPr>
            <w:tcW w:w="3600" w:type="dxa"/>
          </w:tcPr>
          <w:p>
            <w:pPr>
              <w:spacing w:before="80" w:after="80" w:line="300" w:lineRule="auto"/>
              <w:ind w:firstLine="0"/>
            </w:pPr>
            <w:r>
              <w:rPr>
                <w:rFonts w:ascii="Aptos" w:hAnsi="Aptos" w:eastAsia="Microsoft YaHei"/>
                <w:color w:val="546E7A"/>
                <w:sz w:val="18"/>
              </w:rPr>
              <w:t>补齐母线电压、电流、冷却、公差、PCB工艺和材料边界。</w:t>
            </w:r>
          </w:p>
        </w:tc>
      </w:tr>
      <w:tr>
        <w:trPr>
          <w:cantSplit/>
        </w:trPr>
        <w:tc>
          <w:tcPr>
            <w:tcW w:w="2300" w:type="dxa"/>
          </w:tcPr>
          <w:p>
            <w:pPr>
              <w:spacing w:before="80" w:after="80" w:line="300" w:lineRule="auto"/>
              <w:ind w:firstLine="0"/>
            </w:pPr>
            <w:r>
              <w:rPr>
                <w:rFonts w:ascii="Aptos" w:hAnsi="Aptos" w:eastAsia="Microsoft YaHei"/>
                <w:color w:val="546E7A"/>
                <w:sz w:val="18"/>
              </w:rPr>
              <w:t>停止条件过松</w:t>
            </w:r>
          </w:p>
        </w:tc>
        <w:tc>
          <w:tcPr>
            <w:tcW w:w="3100" w:type="dxa"/>
          </w:tcPr>
          <w:p>
            <w:pPr>
              <w:spacing w:before="80" w:after="80" w:line="300" w:lineRule="auto"/>
              <w:ind w:firstLine="0"/>
            </w:pPr>
            <w:r>
              <w:rPr>
                <w:rFonts w:ascii="Aptos" w:hAnsi="Aptos" w:eastAsia="Microsoft YaHei"/>
                <w:color w:val="546E7A"/>
                <w:sz w:val="18"/>
              </w:rPr>
              <w:t>系统把第一个可行点误认为全局可靠解。</w:t>
            </w:r>
          </w:p>
        </w:tc>
        <w:tc>
          <w:tcPr>
            <w:tcW w:w="1000" w:type="dxa"/>
          </w:tcPr>
          <w:p>
            <w:pPr>
              <w:spacing w:before="80" w:after="80" w:line="300" w:lineRule="auto"/>
              <w:ind w:firstLine="0"/>
            </w:pPr>
            <w:r>
              <w:rPr>
                <w:rFonts w:ascii="Aptos" w:hAnsi="Aptos" w:eastAsia="Microsoft YaHei"/>
                <w:color w:val="546E7A"/>
                <w:sz w:val="18"/>
              </w:rPr>
              <w:t>中</w:t>
            </w:r>
          </w:p>
        </w:tc>
        <w:tc>
          <w:tcPr>
            <w:tcW w:w="3600" w:type="dxa"/>
          </w:tcPr>
          <w:p>
            <w:pPr>
              <w:spacing w:before="80" w:after="80" w:line="300" w:lineRule="auto"/>
              <w:ind w:firstLine="0"/>
            </w:pPr>
            <w:r>
              <w:rPr>
                <w:rFonts w:ascii="Aptos" w:hAnsi="Aptos" w:eastAsia="Microsoft YaHei"/>
                <w:color w:val="546E7A"/>
                <w:sz w:val="18"/>
              </w:rPr>
              <w:t>拆分收敛类型，增加置信等级和鲁棒性出口。</w:t>
            </w:r>
          </w:p>
        </w:tc>
      </w:tr>
    </w:tbl>
    <w:p>
      <w:pPr>
        <w:pStyle w:val="Heading2"/>
      </w:pPr>
      <w:r>
        <w:t>9.2 开发前必须确认的问题</w:t>
      </w:r>
    </w:p>
    <w:p>
      <w:pPr>
        <w:pStyle w:val="Bullet"/>
      </w:pPr>
      <w:r>
        <w:t>PCB电机结构究竟是无铁芯PCB定子、PCB绕组＋铁芯，还是混合结构？</w:t>
      </w:r>
    </w:p>
    <w:p>
      <w:pPr>
        <w:pStyle w:val="Bullet"/>
      </w:pPr>
      <w:r>
        <w:t>SSSR、DRSS、SDSR三类拓扑是否都需要支持Halbach、背铁和分段磁钢？</w:t>
      </w:r>
    </w:p>
    <w:p>
      <w:pPr>
        <w:pStyle w:val="Bullet"/>
      </w:pPr>
      <w:r>
        <w:t>Motor-CAD当前模板对PCB铜厚、层数、过孔、端部和FR4热属性的近似方式是什么？</w:t>
      </w:r>
    </w:p>
    <w:p>
      <w:pPr>
        <w:pStyle w:val="Bullet"/>
      </w:pPr>
      <w:r>
        <w:t>Maxwell和JMAG哪一个作为第一优先级高保真工具？两者的模型转换和结果映射由谁负责？</w:t>
      </w:r>
    </w:p>
    <w:p>
      <w:pPr>
        <w:pStyle w:val="Bullet"/>
      </w:pPr>
      <w:r>
        <w:t>默认业务目标是快速可行、完整Pareto，还是量产鲁棒设计？</w:t>
      </w:r>
    </w:p>
    <w:p>
      <w:pPr>
        <w:pStyle w:val="Bullet"/>
      </w:pPr>
      <w:r>
        <w:t>有几套Motor-CAD/Maxwell/JMAG许可？是否允许无GUI和多实例并行？</w:t>
      </w:r>
    </w:p>
    <w:p>
      <w:pPr>
        <w:pStyle w:val="Bullet"/>
      </w:pPr>
      <w:r>
        <w:t>额定、峰值和高效区工况的持续时间、温度边界和电流限制如何定义？</w:t>
      </w:r>
    </w:p>
    <w:p>
      <w:pPr>
        <w:pStyle w:val="Bullet"/>
      </w:pPr>
      <w:r>
        <w:t>气隙、PCB线宽线距、铜厚、磁钢Br和装配偏心的制造公差是多少？</w:t>
      </w:r>
    </w:p>
    <w:p>
      <w:pPr>
        <w:pStyle w:val="Bullet"/>
      </w:pPr>
      <w:r>
        <w:t>最终验收阈值由哪个专家团队签发？是否已有样机或测试数据可用于初始校准？</w:t>
      </w:r>
    </w:p>
    <w:p>
      <w:pPr>
        <w:pStyle w:val="Bullet"/>
      </w:pPr>
      <w:r>
        <w:t>系统二是否允许内置数值优化器？如果可以，批量自适应模式和本地闭环模式的边界需要重新定义。</w:t>
      </w:r>
    </w:p>
    <w:p>
      <w:pPr>
        <w:pStyle w:val="Heading1"/>
      </w:pPr>
      <w:r>
        <w:t>十、附录</w:t>
      </w:r>
      <w:bookmarkStart w:name="_Toc010" w:id="19837"/>
      <w:bookmarkEnd w:id="19837"/>
    </w:p>
    <w:p>
      <w:pPr>
        <w:pStyle w:val="Heading2"/>
      </w:pPr>
      <w:r>
        <w:t>10.1 推荐JSON扩展示意</w:t>
      </w:r>
    </w:p>
    <w:tbl>
      <w:tblPr>
        <w:tblW w:w="5000" w:type="pct"/>
        <w:tblBorders>
          <w:top w:val="single" w:color="CFD8DC" w:sz="4"/>
          <w:left w:val="single" w:color="CFD8DC" w:sz="4"/>
          <w:bottom w:val="single" w:color="CFD8DC" w:sz="4"/>
          <w:right w:val="single" w:color="CFD8DC" w:sz="4"/>
        </w:tblBorders>
      </w:tblPr>
      <w:tblGrid>
        <w:gridCol w:w="9000"/>
      </w:tblGrid>
      <w:tr>
        <w:trPr>
          <w:cantSplit/>
        </w:trPr>
        <w:tc>
          <w:tcPr>
            <w:tcW w:w="9000" w:type="dxa"/>
            <w:shd w:val="clear" w:fill="F4F6F7"/>
          </w:tcPr>
          <w:p>
            <w:pPr>
              <w:spacing w:before="0" w:after="0"/>
              <w:ind w:firstLine="0"/>
            </w:pPr>
            <w:r>
              <w:rPr>
                <w:rFonts w:ascii="Consolas" w:hAnsi="Consolas" w:eastAsia="Microsoft YaHei"/>
                <w:color w:val="455A64"/>
                <w:sz w:val="18"/>
              </w:rPr>
              <w:t xml:space="preserve">{</w:t>
            </w:r>
          </w:p>
          <w:p>
            <w:pPr>
              <w:spacing w:before="0" w:after="0"/>
              <w:ind w:firstLine="0"/>
            </w:pPr>
            <w:r>
              <w:rPr>
                <w:rFonts w:ascii="Consolas" w:hAnsi="Consolas" w:eastAsia="Microsoft YaHei"/>
                <w:color w:val="455A64"/>
                <w:sz w:val="18"/>
              </w:rPr>
              <w:t xml:space="preserve">  "strategy_mode": "fast_feasible",</w:t>
            </w:r>
          </w:p>
          <w:p>
            <w:pPr>
              <w:spacing w:before="0" w:after="0"/>
              <w:ind w:firstLine="0"/>
            </w:pPr>
            <w:r>
              <w:rPr>
                <w:rFonts w:ascii="Consolas" w:hAnsi="Consolas" w:eastAsia="Microsoft YaHei"/>
                <w:color w:val="455A64"/>
                <w:sz w:val="18"/>
              </w:rPr>
              <w:t xml:space="preserve">  "fidelity_strategy": {</w:t>
            </w:r>
          </w:p>
          <w:p>
            <w:pPr>
              <w:spacing w:before="0" w:after="0"/>
              <w:ind w:firstLine="0"/>
            </w:pPr>
            <w:r>
              <w:rPr>
                <w:rFonts w:ascii="Consolas" w:hAnsi="Consolas" w:eastAsia="Microsoft YaHei"/>
                <w:color w:val="455A64"/>
                <w:sz w:val="18"/>
              </w:rPr>
              <w:t xml:space="preserve">    "levels": ["L0_analytic", "L1_motorcad_emag", "L2_motorcad_lab_therm", "L3_maxwell_3d"],</w:t>
            </w:r>
          </w:p>
          <w:p>
            <w:pPr>
              <w:spacing w:before="0" w:after="0"/>
              <w:ind w:firstLine="0"/>
            </w:pPr>
            <w:r>
              <w:rPr>
                <w:rFonts w:ascii="Consolas" w:hAnsi="Consolas" w:eastAsia="Microsoft YaHei"/>
                <w:color w:val="455A64"/>
                <w:sz w:val="18"/>
              </w:rPr>
              <w:t xml:space="preserve">    "upgrade_rule": "top_candidates_only",</w:t>
            </w:r>
          </w:p>
          <w:p>
            <w:pPr>
              <w:spacing w:before="0" w:after="0"/>
              <w:ind w:firstLine="0"/>
            </w:pPr>
            <w:r>
              <w:rPr>
                <w:rFonts w:ascii="Consolas" w:hAnsi="Consolas" w:eastAsia="Microsoft YaHei"/>
                <w:color w:val="455A64"/>
                <w:sz w:val="18"/>
              </w:rPr>
              <w:t xml:space="preserve">    "max_candidates_for_l3": 3</w:t>
            </w:r>
          </w:p>
          <w:p>
            <w:pPr>
              <w:spacing w:before="0" w:after="0"/>
              <w:ind w:firstLine="0"/>
            </w:pPr>
            <w:r>
              <w:rPr>
                <w:rFonts w:ascii="Consolas" w:hAnsi="Consolas" w:eastAsia="Microsoft YaHei"/>
                <w:color w:val="455A64"/>
                <w:sz w:val="18"/>
              </w:rPr>
              <w:t xml:space="preserve">  },</w:t>
            </w:r>
          </w:p>
          <w:p>
            <w:pPr>
              <w:spacing w:before="0" w:after="0"/>
              <w:ind w:firstLine="0"/>
            </w:pPr>
            <w:r>
              <w:rPr>
                <w:rFonts w:ascii="Consolas" w:hAnsi="Consolas" w:eastAsia="Microsoft YaHei"/>
                <w:color w:val="455A64"/>
                <w:sz w:val="18"/>
              </w:rPr>
              <w:t xml:space="preserve">  "search_strategy": {</w:t>
            </w:r>
          </w:p>
          <w:p>
            <w:pPr>
              <w:spacing w:before="0" w:after="0"/>
              <w:ind w:firstLine="0"/>
            </w:pPr>
            <w:r>
              <w:rPr>
                <w:rFonts w:ascii="Consolas" w:hAnsi="Consolas" w:eastAsia="Microsoft YaHei"/>
                <w:color w:val="455A64"/>
                <w:sz w:val="18"/>
              </w:rPr>
              <w:t xml:space="preserve">    "method": "constrained_bayesian",</w:t>
            </w:r>
          </w:p>
          <w:p>
            <w:pPr>
              <w:spacing w:before="0" w:after="0"/>
              <w:ind w:firstLine="0"/>
            </w:pPr>
            <w:r>
              <w:rPr>
                <w:rFonts w:ascii="Consolas" w:hAnsi="Consolas" w:eastAsia="Microsoft YaHei"/>
                <w:color w:val="455A64"/>
                <w:sz w:val="18"/>
              </w:rPr>
              <w:t xml:space="preserve">    "initial_samples": 16,</w:t>
            </w:r>
          </w:p>
          <w:p>
            <w:pPr>
              <w:spacing w:before="0" w:after="0"/>
              <w:ind w:firstLine="0"/>
            </w:pPr>
            <w:r>
              <w:rPr>
                <w:rFonts w:ascii="Consolas" w:hAnsi="Consolas" w:eastAsia="Microsoft YaHei"/>
                <w:color w:val="455A64"/>
                <w:sz w:val="18"/>
              </w:rPr>
              <w:t xml:space="preserve">    "batch_size": 4,</w:t>
            </w:r>
          </w:p>
          <w:p>
            <w:pPr>
              <w:spacing w:before="0" w:after="0"/>
              <w:ind w:firstLine="0"/>
            </w:pPr>
            <w:r>
              <w:rPr>
                <w:rFonts w:ascii="Consolas" w:hAnsi="Consolas" w:eastAsia="Microsoft YaHei"/>
                <w:color w:val="455A64"/>
                <w:sz w:val="18"/>
              </w:rPr>
              <w:t xml:space="preserve">    "max_solver_calls": 80,</w:t>
            </w:r>
          </w:p>
          <w:p>
            <w:pPr>
              <w:spacing w:before="0" w:after="0"/>
              <w:ind w:firstLine="0"/>
            </w:pPr>
            <w:r>
              <w:rPr>
                <w:rFonts w:ascii="Consolas" w:hAnsi="Consolas" w:eastAsia="Microsoft YaHei"/>
                <w:color w:val="455A64"/>
                <w:sz w:val="18"/>
              </w:rPr>
              <w:t xml:space="preserve">    "local_trust_region": true</w:t>
            </w:r>
          </w:p>
          <w:p>
            <w:pPr>
              <w:spacing w:before="0" w:after="0"/>
              <w:ind w:firstLine="0"/>
            </w:pPr>
            <w:r>
              <w:rPr>
                <w:rFonts w:ascii="Consolas" w:hAnsi="Consolas" w:eastAsia="Microsoft YaHei"/>
                <w:color w:val="455A64"/>
                <w:sz w:val="18"/>
              </w:rPr>
              <w:t xml:space="preserve">  },</w:t>
            </w:r>
          </w:p>
          <w:p>
            <w:pPr>
              <w:spacing w:before="0" w:after="0"/>
              <w:ind w:firstLine="0"/>
            </w:pPr>
            <w:r>
              <w:rPr>
                <w:rFonts w:ascii="Consolas" w:hAnsi="Consolas" w:eastAsia="Microsoft YaHei"/>
                <w:color w:val="455A64"/>
                <w:sz w:val="18"/>
              </w:rPr>
              <w:t xml:space="preserve">  "acceptance_criteria": {</w:t>
            </w:r>
          </w:p>
          <w:p>
            <w:pPr>
              <w:spacing w:before="0" w:after="0"/>
              <w:ind w:firstLine="0"/>
            </w:pPr>
            <w:r>
              <w:rPr>
                <w:rFonts w:ascii="Consolas" w:hAnsi="Consolas" w:eastAsia="Microsoft YaHei"/>
                <w:color w:val="455A64"/>
                <w:sz w:val="18"/>
              </w:rPr>
              <w:t xml:space="preserve">    "hard_constraints": ["torque_nm &gt;= 10", "temperature_c &lt;= 120"],</w:t>
            </w:r>
          </w:p>
          <w:p>
            <w:pPr>
              <w:spacing w:before="0" w:after="0"/>
              <w:ind w:firstLine="0"/>
            </w:pPr>
            <w:r>
              <w:rPr>
                <w:rFonts w:ascii="Consolas" w:hAnsi="Consolas" w:eastAsia="Microsoft YaHei"/>
                <w:color w:val="455A64"/>
                <w:sz w:val="18"/>
              </w:rPr>
              <w:t xml:space="preserve">    "cross_tool_tolerance": {"torque_pct": 5, "efficiency_point": 1.0},</w:t>
            </w:r>
          </w:p>
          <w:p>
            <w:pPr>
              <w:spacing w:before="0" w:after="0"/>
              <w:ind w:firstLine="0"/>
            </w:pPr>
            <w:r>
              <w:rPr>
                <w:rFonts w:ascii="Consolas" w:hAnsi="Consolas" w:eastAsia="Microsoft YaHei"/>
                <w:color w:val="455A64"/>
                <w:sz w:val="18"/>
              </w:rPr>
              <w:t xml:space="preserve">    "surrogate_max_uncertainty": 0.05,</w:t>
            </w:r>
          </w:p>
          <w:p>
            <w:pPr>
              <w:spacing w:before="0" w:after="0"/>
              <w:ind w:firstLine="0"/>
            </w:pPr>
            <w:r>
              <w:rPr>
                <w:rFonts w:ascii="Consolas" w:hAnsi="Consolas" w:eastAsia="Microsoft YaHei"/>
                <w:color w:val="455A64"/>
                <w:sz w:val="18"/>
              </w:rPr>
              <w:t xml:space="preserve">    "robustness_required": true</w:t>
            </w:r>
          </w:p>
          <w:p>
            <w:pPr>
              <w:spacing w:before="0" w:after="0"/>
              <w:ind w:firstLine="0"/>
            </w:pPr>
            <w:r>
              <w:rPr>
                <w:rFonts w:ascii="Consolas" w:hAnsi="Consolas" w:eastAsia="Microsoft YaHei"/>
                <w:color w:val="455A64"/>
                <w:sz w:val="18"/>
              </w:rPr>
              <w:t xml:space="preserve">  }</w:t>
            </w:r>
          </w:p>
          <w:p>
            <w:pPr>
              <w:spacing w:before="0" w:after="0"/>
              <w:ind w:firstLine="0"/>
            </w:pPr>
            <w:r>
              <w:rPr>
                <w:rFonts w:ascii="Consolas" w:hAnsi="Consolas" w:eastAsia="Microsoft YaHei"/>
                <w:color w:val="455A64"/>
                <w:sz w:val="18"/>
              </w:rPr>
              <w:t xml:space="preserve">}</w:t>
            </w:r>
          </w:p>
        </w:tc>
      </w:tr>
    </w:tbl>
    <w:p>
      <w:pPr>
        <w:pStyle w:val="Heading2"/>
      </w:pPr>
      <w:r>
        <w:t>10.2 术语</w:t>
      </w:r>
    </w:p>
    <w:tbl>
      <w:tblPr>
        <w:tblW w:w="5000" w:type="pct"/>
        <w:tblBorders>
          <w:top w:val="single" w:color="263238" w:sz="12"/>
          <w:left w:val="nil"/>
          <w:bottom w:val="single" w:color="263238" w:sz="12"/>
          <w:right w:val="nil"/>
          <w:insideH w:val="single" w:color="CFD8DC" w:sz="4"/>
          <w:insideV w:val="nil"/>
        </w:tblBorders>
      </w:tblPr>
      <w:tblGrid>
        <w:gridCol w:w="2200"/>
        <w:gridCol w:w="6800"/>
      </w:tblGrid>
      <w:tr>
        <w:trPr>
          <w:cantSplit/>
          <w:tblHeader/>
        </w:trPr>
        <w:tc>
          <w:tcPr>
            <w:tcW w:w="2200" w:type="dxa"/>
            <w:shd w:val="clear" w:fill="ECEFF1"/>
          </w:tcPr>
          <w:p>
            <w:pPr>
              <w:spacing w:before="80" w:after="80" w:line="300" w:lineRule="auto"/>
              <w:ind w:firstLine="0"/>
            </w:pPr>
            <w:r>
              <w:rPr>
                <w:rFonts w:ascii="Aptos" w:hAnsi="Aptos" w:eastAsia="Microsoft YaHei"/>
                <w:b/>
                <w:color w:val="263238"/>
                <w:sz w:val="19"/>
              </w:rPr>
              <w:t>术语</w:t>
            </w:r>
          </w:p>
        </w:tc>
        <w:tc>
          <w:tcPr>
            <w:tcW w:w="6800" w:type="dxa"/>
            <w:shd w:val="clear" w:fill="ECEFF1"/>
          </w:tcPr>
          <w:p>
            <w:pPr>
              <w:spacing w:before="80" w:after="80" w:line="300" w:lineRule="auto"/>
              <w:ind w:firstLine="0"/>
            </w:pPr>
            <w:r>
              <w:rPr>
                <w:rFonts w:ascii="Aptos" w:hAnsi="Aptos" w:eastAsia="Microsoft YaHei"/>
                <w:b/>
                <w:color w:val="263238"/>
                <w:sz w:val="19"/>
              </w:rPr>
              <w:t>说明</w:t>
            </w:r>
          </w:p>
        </w:tc>
      </w:tr>
      <w:tr>
        <w:trPr>
          <w:cantSplit/>
        </w:trPr>
        <w:tc>
          <w:tcPr>
            <w:tcW w:w="2200" w:type="dxa"/>
          </w:tcPr>
          <w:p>
            <w:pPr>
              <w:spacing w:before="80" w:after="80" w:line="300" w:lineRule="auto"/>
              <w:ind w:firstLine="0"/>
            </w:pPr>
            <w:r>
              <w:rPr>
                <w:rFonts w:ascii="Aptos" w:hAnsi="Aptos" w:eastAsia="Microsoft YaHei"/>
                <w:color w:val="546E7A"/>
                <w:sz w:val="18"/>
              </w:rPr>
              <w:t>可行性优先</w:t>
            </w:r>
          </w:p>
        </w:tc>
        <w:tc>
          <w:tcPr>
            <w:tcW w:w="6800" w:type="dxa"/>
          </w:tcPr>
          <w:p>
            <w:pPr>
              <w:spacing w:before="80" w:after="80" w:line="300" w:lineRule="auto"/>
              <w:ind w:firstLine="0"/>
            </w:pPr>
            <w:r>
              <w:rPr>
                <w:rFonts w:ascii="Aptos" w:hAnsi="Aptos" w:eastAsia="Microsoft YaHei"/>
                <w:color w:val="546E7A"/>
                <w:sz w:val="18"/>
              </w:rPr>
              <w:t>先让候选方案满足硬约束，再追求性能最优。</w:t>
            </w:r>
          </w:p>
        </w:tc>
      </w:tr>
      <w:tr>
        <w:trPr>
          <w:cantSplit/>
        </w:trPr>
        <w:tc>
          <w:tcPr>
            <w:tcW w:w="2200" w:type="dxa"/>
          </w:tcPr>
          <w:p>
            <w:pPr>
              <w:spacing w:before="80" w:after="80" w:line="300" w:lineRule="auto"/>
              <w:ind w:firstLine="0"/>
            </w:pPr>
            <w:r>
              <w:rPr>
                <w:rFonts w:ascii="Aptos" w:hAnsi="Aptos" w:eastAsia="Microsoft YaHei"/>
                <w:color w:val="546E7A"/>
                <w:sz w:val="18"/>
              </w:rPr>
              <w:t>多保真度</w:t>
            </w:r>
          </w:p>
        </w:tc>
        <w:tc>
          <w:tcPr>
            <w:tcW w:w="6800" w:type="dxa"/>
          </w:tcPr>
          <w:p>
            <w:pPr>
              <w:spacing w:before="80" w:after="80" w:line="300" w:lineRule="auto"/>
              <w:ind w:firstLine="0"/>
            </w:pPr>
            <w:r>
              <w:rPr>
                <w:rFonts w:ascii="Aptos" w:hAnsi="Aptos" w:eastAsia="Microsoft YaHei"/>
                <w:color w:val="546E7A"/>
                <w:sz w:val="18"/>
              </w:rPr>
              <w:t>用不同成本和精度的模型分层完成筛选、优化、验证和校准。</w:t>
            </w:r>
          </w:p>
        </w:tc>
      </w:tr>
      <w:tr>
        <w:trPr>
          <w:cantSplit/>
        </w:trPr>
        <w:tc>
          <w:tcPr>
            <w:tcW w:w="2200" w:type="dxa"/>
          </w:tcPr>
          <w:p>
            <w:pPr>
              <w:spacing w:before="80" w:after="80" w:line="300" w:lineRule="auto"/>
              <w:ind w:firstLine="0"/>
            </w:pPr>
            <w:r>
              <w:rPr>
                <w:rFonts w:ascii="Aptos" w:hAnsi="Aptos" w:eastAsia="Microsoft YaHei"/>
                <w:color w:val="546E7A"/>
                <w:sz w:val="18"/>
              </w:rPr>
              <w:t>主动学习</w:t>
            </w:r>
          </w:p>
        </w:tc>
        <w:tc>
          <w:tcPr>
            <w:tcW w:w="6800" w:type="dxa"/>
          </w:tcPr>
          <w:p>
            <w:pPr>
              <w:spacing w:before="80" w:after="80" w:line="300" w:lineRule="auto"/>
              <w:ind w:firstLine="0"/>
            </w:pPr>
            <w:r>
              <w:rPr>
                <w:rFonts w:ascii="Aptos" w:hAnsi="Aptos" w:eastAsia="Microsoft YaHei"/>
                <w:color w:val="546E7A"/>
                <w:sz w:val="18"/>
              </w:rPr>
              <w:t>根据当前代理模型的不确定性和预期收益，动态选择下一批仿真点。</w:t>
            </w:r>
          </w:p>
        </w:tc>
      </w:tr>
      <w:tr>
        <w:trPr>
          <w:cantSplit/>
        </w:trPr>
        <w:tc>
          <w:tcPr>
            <w:tcW w:w="2200" w:type="dxa"/>
          </w:tcPr>
          <w:p>
            <w:pPr>
              <w:spacing w:before="80" w:after="80" w:line="300" w:lineRule="auto"/>
              <w:ind w:firstLine="0"/>
            </w:pPr>
            <w:r>
              <w:rPr>
                <w:rFonts w:ascii="Aptos" w:hAnsi="Aptos" w:eastAsia="Microsoft YaHei"/>
                <w:color w:val="546E7A"/>
                <w:sz w:val="18"/>
              </w:rPr>
              <w:t>约束贝叶斯优化</w:t>
            </w:r>
          </w:p>
        </w:tc>
        <w:tc>
          <w:tcPr>
            <w:tcW w:w="6800" w:type="dxa"/>
          </w:tcPr>
          <w:p>
            <w:pPr>
              <w:spacing w:before="80" w:after="80" w:line="300" w:lineRule="auto"/>
              <w:ind w:firstLine="0"/>
            </w:pPr>
            <w:r>
              <w:rPr>
                <w:rFonts w:ascii="Aptos" w:hAnsi="Aptos" w:eastAsia="Microsoft YaHei"/>
                <w:color w:val="546E7A"/>
                <w:sz w:val="18"/>
              </w:rPr>
              <w:t>在贝叶斯优化中显式建模硬约束满足概率，优先搜索可行区域。</w:t>
            </w:r>
          </w:p>
        </w:tc>
      </w:tr>
      <w:tr>
        <w:trPr>
          <w:cantSplit/>
        </w:trPr>
        <w:tc>
          <w:tcPr>
            <w:tcW w:w="2200" w:type="dxa"/>
          </w:tcPr>
          <w:p>
            <w:pPr>
              <w:spacing w:before="80" w:after="80" w:line="300" w:lineRule="auto"/>
              <w:ind w:firstLine="0"/>
            </w:pPr>
            <w:r>
              <w:rPr>
                <w:rFonts w:ascii="Aptos" w:hAnsi="Aptos" w:eastAsia="Microsoft YaHei"/>
                <w:color w:val="546E7A"/>
                <w:sz w:val="18"/>
              </w:rPr>
              <w:t>信任域</w:t>
            </w:r>
          </w:p>
        </w:tc>
        <w:tc>
          <w:tcPr>
            <w:tcW w:w="6800" w:type="dxa"/>
          </w:tcPr>
          <w:p>
            <w:pPr>
              <w:spacing w:before="80" w:after="80" w:line="300" w:lineRule="auto"/>
              <w:ind w:firstLine="0"/>
            </w:pPr>
            <w:r>
              <w:rPr>
                <w:rFonts w:ascii="Aptos" w:hAnsi="Aptos" w:eastAsia="Microsoft YaHei"/>
                <w:color w:val="546E7A"/>
                <w:sz w:val="18"/>
              </w:rPr>
              <w:t>在当前最优点附近限制搜索范围，逐步扩大或收缩，用于局部稳定收敛。</w:t>
            </w:r>
          </w:p>
        </w:tc>
      </w:tr>
      <w:tr>
        <w:trPr>
          <w:cantSplit/>
        </w:trPr>
        <w:tc>
          <w:tcPr>
            <w:tcW w:w="2200" w:type="dxa"/>
          </w:tcPr>
          <w:p>
            <w:pPr>
              <w:spacing w:before="80" w:after="80" w:line="300" w:lineRule="auto"/>
              <w:ind w:firstLine="0"/>
            </w:pPr>
            <w:r>
              <w:rPr>
                <w:rFonts w:ascii="Aptos" w:hAnsi="Aptos" w:eastAsia="Microsoft YaHei"/>
                <w:color w:val="546E7A"/>
                <w:sz w:val="18"/>
              </w:rPr>
              <w:t>跨工具校准</w:t>
            </w:r>
          </w:p>
        </w:tc>
        <w:tc>
          <w:tcPr>
            <w:tcW w:w="6800" w:type="dxa"/>
          </w:tcPr>
          <w:p>
            <w:pPr>
              <w:spacing w:before="80" w:after="80" w:line="300" w:lineRule="auto"/>
              <w:ind w:firstLine="0"/>
            </w:pPr>
            <w:r>
              <w:rPr>
                <w:rFonts w:ascii="Aptos" w:hAnsi="Aptos" w:eastAsia="Microsoft YaHei"/>
                <w:color w:val="546E7A"/>
                <w:sz w:val="18"/>
              </w:rPr>
              <w:t>比较Motor-CAD与Maxwell/JMAG在相同工况下的结果差异，并把差异用于修正后续预测。</w:t>
            </w:r>
          </w:p>
        </w:tc>
      </w:tr>
      <w:tr>
        <w:trPr>
          <w:cantSplit/>
        </w:trPr>
        <w:tc>
          <w:tcPr>
            <w:tcW w:w="2200" w:type="dxa"/>
          </w:tcPr>
          <w:p>
            <w:pPr>
              <w:spacing w:before="80" w:after="80" w:line="300" w:lineRule="auto"/>
              <w:ind w:firstLine="0"/>
            </w:pPr>
            <w:r>
              <w:rPr>
                <w:rFonts w:ascii="Aptos" w:hAnsi="Aptos" w:eastAsia="Microsoft YaHei"/>
                <w:color w:val="546E7A"/>
                <w:sz w:val="18"/>
              </w:rPr>
              <w:t>置信等级</w:t>
            </w:r>
          </w:p>
        </w:tc>
        <w:tc>
          <w:tcPr>
            <w:tcW w:w="6800" w:type="dxa"/>
          </w:tcPr>
          <w:p>
            <w:pPr>
              <w:spacing w:before="80" w:after="80" w:line="300" w:lineRule="auto"/>
              <w:ind w:firstLine="0"/>
            </w:pPr>
            <w:r>
              <w:rPr>
                <w:rFonts w:ascii="Aptos" w:hAnsi="Aptos" w:eastAsia="Microsoft YaHei"/>
                <w:color w:val="546E7A"/>
                <w:sz w:val="18"/>
              </w:rPr>
              <w:t>按验证深度把结果分为A/B/C/D，避免低保真结果被误用为最终结论。</w:t>
            </w:r>
          </w:p>
        </w:tc>
      </w:tr>
    </w:tbl>
    <w:p>
      <w:pPr>
        <w:pStyle w:val="Heading2"/>
      </w:pPr>
      <w:r>
        <w:t>10.3 参考资料</w:t>
      </w:r>
    </w:p>
    <w:p>
      <w:pPr>
        <w:pStyle w:val="Reference"/>
      </w:pPr>
      <w:r>
        <w:t>Ansys Motor-CAD产品页：2026 R1轴向磁通、热、Lab、Maxwell联动与多物理场能力说明。https://www.ansys.com/products/electronics/ansys-motor-cad</w:t>
      </w:r>
    </w:p>
    <w:p>
      <w:pPr>
        <w:pStyle w:val="Reference"/>
      </w:pPr>
      <w:r>
        <w:t>Ansys Innovation Space：Accelerating Multiphysics Optimization Workflows of Axial Flux Motor Design，2026。https://innovationspace.ansys.com/product/accelerating-multiphysics-optimization-workflows-of-axial-flux-motor-design/</w:t>
      </w:r>
    </w:p>
    <w:p>
      <w:pPr>
        <w:pStyle w:val="Reference"/>
      </w:pPr>
      <w:r>
        <w:t>Ansys Innovation Space：Running Parallel Ansys Motor-CAD Calculations Through Scripting，2026 R1。https://innovationspace.ansys.com/certifications/courses/running-parallel-ansys-motor-cad-calculations-through-scripting/</w:t>
      </w:r>
    </w:p>
    <w:p>
      <w:pPr>
        <w:pStyle w:val="Reference"/>
      </w:pPr>
      <w:r>
        <w:t>Ansys：How to Efficiently Optimize Electric Motor Design。https://ansys.synopsys.com/blog/how-to-efficiently-optimize-electric-motor-design</w:t>
      </w:r>
    </w:p>
    <w:p>
      <w:pPr>
        <w:pStyle w:val="Reference"/>
      </w:pPr>
      <w:r>
        <w:t>Ansys：New Adaptive Templates in Ansys Motor-CAD Make Motor Design Faster, Easier, and More Scalable。https://www.ansys.com/blog/new-adaptive-templates-ansys-motor-cad-make-motor-design-faster-easier-more-scalable</w:t>
      </w:r>
    </w:p>
    <w:p>
      <w:pPr>
        <w:pStyle w:val="Reference"/>
      </w:pPr>
      <w:r>
        <w:t>《基于Kriging-PSO算法的双转子PCB轴向磁通电机优化设计与分析》，电机工程学报，DOI: 10.11985/JEE.260677。</w:t>
      </w:r>
    </w:p>
    <w:p>
      <w:pPr>
        <w:pStyle w:val="Reference"/>
      </w:pPr>
      <w:r>
        <w:t>SimuTech Group：Bayesian Optimization for Electric Motor Design Using Stochos and Ansys Motor-CAD，2026。https://simutechgroup.com/resources/blog/bayesian-optimization-electric-motor-design-using-stochos-and-motor-cad/</w:t>
      </w:r>
    </w:p>
    <w:p>
      <w:pPr>
        <w:sectPr>
          <w:headerReference w:type="default" r:id="R28f0dc70bf544aa5"/>
          <w:footerReference w:type="default" r:id="Rc7933a8c389a4153"/>
          <w:pgSz w:w="11906" w:h="16838"/>
          <w:pgMar w:top="1800" w:right="1440" w:bottom="1440" w:left="1440" w:header="720" w:footer="720"/>
        </w:sectPr>
      </w:pPr>
    </w:p>
    <w:p>
      <w:r>
        <w:drawing>
          <wp:anchor distT="0" distB="0" distL="0" distR="0" simplePos="0" relativeHeight="251658240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60000" cy="10692000"/>
            <wp:effectExtent l="0" t="0" r="0" b="0"/>
            <wp:wrapNone/>
            <wp:docPr id="3" name="BackB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BackBg.png"/>
                    <pic:cNvPicPr/>
                  </pic:nvPicPr>
                  <pic:blipFill>
                    <a:blip r:embed="R9d6dcaa5c2184fe7"/>
                    <a:stretch>
                      <a:fillRect/>
                    </a:stretch>
                  </pic:blipFill>
                  <pic:spPr>
                    <a:xfrm>
                      <a:off x="0" y="0"/>
                      <a:ext cx="7560000" cy="10692000"/>
                    </a:xfrm>
                    <a:prstGeom prst="rect"/>
                  </pic:spPr>
                </pic:pic>
              </a:graphicData>
            </a:graphic>
          </wp:anchor>
        </w:drawing>
      </w:r>
    </w:p>
    <w:p>
      <w:pPr>
        <w:spacing w:before="6600"/>
        <w:jc w:val="center"/>
      </w:pPr>
      <w:r>
        <w:rPr>
          <w:rFonts w:ascii="Aptos Display" w:hAnsi="Aptos Display" w:eastAsia="Microsoft YaHei"/>
          <w:b/>
          <w:color w:val="FFFFFF"/>
          <w:spacing w:val="30"/>
          <w:sz w:val="40"/>
        </w:rPr>
        <w:t>评审建议稿</w:t>
      </w:r>
    </w:p>
    <w:p>
      <w:pPr>
        <w:spacing w:before="320"/>
        <w:jc w:val="center"/>
      </w:pPr>
      <w:r>
        <w:rPr>
          <w:rFonts w:ascii="Aptos" w:hAnsi="Aptos" w:eastAsia="Microsoft YaHei"/>
          <w:color w:val="D7E0E3"/>
          <w:sz w:val="20"/>
        </w:rPr>
        <w:t>供方案系统与执行程序开发评审使用</w:t>
      </w:r>
    </w:p>
    <w:sectPr>
      <w:headerReference w:type="default" r:id="R21846348886c430f"/>
      <w:footerReference w:type="default" r:id="R9563b9a466024eda"/>
      <w:pgSz w:w="11906" w:h="16838"/>
      <w:pgMar w:top="0" w:right="0" w:bottom="0" w:left="0" w:header="0" w:footer="0"/>
    </w:sectPr>
  </w:body>
</w:document>
</file>

<file path=word/footer1.xml><?xml version="1.0" encoding="utf-8"?>
<w:ftr xmlns:w="http://schemas.openxmlformats.org/wordprocessingml/2006/main">
  <w:p>
    <w:pPr>
      <w:jc w:val="center"/>
    </w:pPr>
    <w:r>
      <w:rPr>
        <w:rFonts w:ascii="Aptos" w:hAnsi="Aptos" w:eastAsia="Microsoft YaHei"/>
        <w:color w:val="78909C"/>
        <w:sz w:val="18"/>
      </w:rPr>
      <w:t xml:space="preserve">第 </w:t>
    </w:r>
    <w:r>
      <w:rPr>
        <w:rFonts w:ascii="Aptos" w:hAnsi="Aptos" w:eastAsia="Microsoft YaHei"/>
        <w:color w:val="78909C"/>
        <w:sz w:val="18"/>
      </w:rPr>
      <w:fldChar w:fldCharType="begin"/>
    </w:r>
    <w:r>
      <w:rPr>
        <w:rFonts w:ascii="Aptos" w:hAnsi="Aptos" w:eastAsia="Microsoft YaHei"/>
        <w:color w:val="78909C"/>
        <w:sz w:val="18"/>
      </w:rPr>
      <w:instrText xml:space="preserve"> PAGE </w:instrText>
    </w:r>
    <w:r>
      <w:rPr>
        <w:rFonts w:ascii="Aptos" w:hAnsi="Aptos" w:eastAsia="Microsoft YaHei"/>
        <w:color w:val="78909C"/>
        <w:sz w:val="18"/>
      </w:rPr>
      <w:fldChar w:fldCharType="separate"/>
    </w:r>
    <w:r>
      <w:rPr>
        <w:rFonts w:ascii="Aptos" w:hAnsi="Aptos" w:eastAsia="Microsoft YaHei"/>
        <w:color w:val="78909C"/>
        <w:sz w:val="18"/>
      </w:rPr>
      <w:t xml:space="preserve">1</w:t>
    </w:r>
    <w:r>
      <w:rPr>
        <w:rFonts w:ascii="Aptos" w:hAnsi="Aptos" w:eastAsia="Microsoft YaHei"/>
        <w:color w:val="78909C"/>
        <w:sz w:val="18"/>
      </w:rPr>
      <w:fldChar w:fldCharType="end"/>
    </w:r>
    <w:r>
      <w:rPr>
        <w:rFonts w:ascii="Aptos" w:hAnsi="Aptos" w:eastAsia="Microsoft YaHei"/>
        <w:color w:val="78909C"/>
        <w:sz w:val="18"/>
      </w:rPr>
      <w:t xml:space="preserve"> 页 / 共 </w:t>
    </w:r>
    <w:r>
      <w:rPr>
        <w:rFonts w:ascii="Aptos" w:hAnsi="Aptos" w:eastAsia="Microsoft YaHei"/>
        <w:color w:val="78909C"/>
        <w:sz w:val="18"/>
      </w:rPr>
      <w:fldChar w:fldCharType="begin"/>
    </w:r>
    <w:r>
      <w:rPr>
        <w:rFonts w:ascii="Aptos" w:hAnsi="Aptos" w:eastAsia="Microsoft YaHei"/>
        <w:color w:val="78909C"/>
        <w:sz w:val="18"/>
      </w:rPr>
      <w:instrText xml:space="preserve"> NUMPAGES </w:instrText>
    </w:r>
    <w:r>
      <w:rPr>
        <w:rFonts w:ascii="Aptos" w:hAnsi="Aptos" w:eastAsia="Microsoft YaHei"/>
        <w:color w:val="78909C"/>
        <w:sz w:val="18"/>
      </w:rPr>
      <w:fldChar w:fldCharType="separate"/>
    </w:r>
    <w:r>
      <w:rPr>
        <w:rFonts w:ascii="Aptos" w:hAnsi="Aptos" w:eastAsia="Microsoft YaHei"/>
        <w:color w:val="78909C"/>
        <w:sz w:val="18"/>
      </w:rPr>
      <w:t xml:space="preserve">1</w:t>
    </w:r>
    <w:r>
      <w:rPr>
        <w:rFonts w:ascii="Aptos" w:hAnsi="Aptos" w:eastAsia="Microsoft YaHei"/>
        <w:color w:val="78909C"/>
        <w:sz w:val="18"/>
      </w:rPr>
      <w:fldChar w:fldCharType="end"/>
    </w:r>
    <w:r>
      <w:rPr>
        <w:rFonts w:ascii="Aptos" w:hAnsi="Aptos" w:eastAsia="Microsoft YaHei"/>
        <w:color w:val="78909C"/>
        <w:sz w:val="18"/>
      </w:rPr>
      <w:t xml:space="preserve"> 页</w:t>
    </w:r>
  </w:p>
</w:ftr>
</file>

<file path=word/footer2.xml><?xml version="1.0" encoding="utf-8"?>
<w:ftr xmlns:w="http://schemas.openxmlformats.org/wordprocessingml/2006/main">
  <w:p>
    <w:r/>
  </w:p>
</w:ftr>
</file>

<file path=word/footnotes.xml><?xml version="1.0" encoding="utf-8"?>
<w:footnotes xmlns:w="http://schemas.openxmlformats.org/wordprocessingml/2006/main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  <w:footnote w:id="1">
    <w:p>
      <w:r>
        <w:rPr>
          <w:vertAlign w:val="superscript"/>
        </w:rPr>
        <w:footnoteRef/>
      </w:r>
      <w:r>
        <w:rPr>
          <w:rFonts w:ascii="Aptos" w:hAnsi="Aptos" w:eastAsia="Microsoft YaHei"/>
          <w:sz w:val="18"/>
        </w:rPr>
        <w:t xml:space="preserve"> Ansys, How to Efficiently Optimize Electric Motor Design, https://ansys.synopsys.com/blog/how-to-efficiently-optimize-electric-motor-design</w:t>
      </w:r>
    </w:p>
  </w:footnote>
  <w:footnote w:id="2">
    <w:p>
      <w:r>
        <w:rPr>
          <w:vertAlign w:val="superscript"/>
        </w:rPr>
        <w:footnoteRef/>
      </w:r>
      <w:r>
        <w:rPr>
          <w:rFonts w:ascii="Aptos" w:hAnsi="Aptos" w:eastAsia="Microsoft YaHei"/>
          <w:sz w:val="18"/>
        </w:rPr>
        <w:t xml:space="preserve"> 《基于Kriging-PSO算法的双转子PCB轴向磁通电机优化设计与分析》，电机工程学报，DOI: 10.11985/JEE.260677</w:t>
      </w:r>
    </w:p>
  </w:footnote>
  <w:footnote w:id="3">
    <w:p>
      <w:r>
        <w:rPr>
          <w:vertAlign w:val="superscript"/>
        </w:rPr>
        <w:footnoteRef/>
      </w:r>
      <w:r>
        <w:rPr>
          <w:rFonts w:ascii="Aptos" w:hAnsi="Aptos" w:eastAsia="Microsoft YaHei"/>
          <w:sz w:val="18"/>
        </w:rPr>
        <w:t xml:space="preserve"> SimuTech Group, Bayesian Optimization for Electric Motor Design Using Stochos and Ansys Motor-CAD, 2026</w:t>
      </w:r>
    </w:p>
  </w:footnote>
  <w:footnote w:id="4">
    <w:p>
      <w:r>
        <w:rPr>
          <w:vertAlign w:val="superscript"/>
        </w:rPr>
        <w:footnoteRef/>
      </w:r>
      <w:r>
        <w:rPr>
          <w:rFonts w:ascii="Aptos" w:hAnsi="Aptos" w:eastAsia="Microsoft YaHei"/>
          <w:sz w:val="18"/>
        </w:rPr>
        <w:t xml:space="preserve"> Ansys Innovation Space, Accelerating Multiphysics Optimization Workflows of Axial Flux Motor Design, 2026, https://innovationspace.ansys.com/product/accelerating-multiphysics-optimization-workflows-of-axial-flux-motor-design/</w:t>
      </w:r>
    </w:p>
  </w:footnote>
  <w:footnote w:id="5">
    <w:p>
      <w:r>
        <w:rPr>
          <w:vertAlign w:val="superscript"/>
        </w:rPr>
        <w:footnoteRef/>
      </w:r>
      <w:r>
        <w:rPr>
          <w:rFonts w:ascii="Aptos" w:hAnsi="Aptos" w:eastAsia="Microsoft YaHei"/>
          <w:sz w:val="18"/>
        </w:rPr>
        <w:t xml:space="preserve"> Ansys Motor-CAD product page, 2026 R1 release information, https://www.ansys.com/products/electronics/ansys-motor-cad</w:t>
      </w:r>
    </w:p>
  </w:footnote>
  <w:footnote w:id="6">
    <w:p>
      <w:r>
        <w:rPr>
          <w:vertAlign w:val="superscript"/>
        </w:rPr>
        <w:footnoteRef/>
      </w:r>
      <w:r>
        <w:rPr>
          <w:rFonts w:ascii="Aptos" w:hAnsi="Aptos" w:eastAsia="Microsoft YaHei"/>
          <w:sz w:val="18"/>
        </w:rPr>
        <w:t xml:space="preserve"> Ansys Innovation Space, Running Parallel Ansys Motor-CAD Calculations Through Scripting, 2026 R1, https://innovationspace.ansys.com/certifications/courses/running-parallel-ansys-motor-cad-calculations-through-scripting/</w:t>
      </w:r>
    </w:p>
  </w:footnote>
</w:footnotes>
</file>

<file path=word/header1.xml><?xml version="1.0" encoding="utf-8"?>
<w:hdr xmlns:w="http://schemas.openxmlformats.org/wordprocessingml/2006/main">
  <w:p>
    <w:pPr>
      <w:jc w:val="right"/>
    </w:pPr>
    <w:r>
      <w:rPr>
        <w:rFonts w:ascii="Aptos" w:hAnsi="Aptos" w:eastAsia="Microsoft YaHei"/>
        <w:color w:val="78909C"/>
        <w:sz w:val="18"/>
      </w:rPr>
      <w:t>PCB轴向磁通电机自动仿真系统｜仿真策略评审</w:t>
    </w:r>
  </w:p>
</w:hdr>
</file>

<file path=word/header2.xml><?xml version="1.0" encoding="utf-8"?>
<w:hdr xmlns:w="http://schemas.openxmlformats.org/wordprocessingml/2006/main">
  <w:p>
    <w:r/>
  </w:p>
</w:hdr>
</file>

<file path=word/settings.xml><?xml version="1.0" encoding="utf-8"?>
<w:settings xmlns:w="http://schemas.openxmlformats.org/wordprocessingml/2006/main">
  <w:displayBackgroundShape/>
  <w:updateFields w:val="true"/>
</w:settings>
</file>

<file path=word/styles.xml><?xml version="1.0" encoding="utf-8"?>
<w:styles xmlns:w="http://schemas.openxmlformats.org/wordprocessingml/2006/main">
  <w:style w:type="paragraph" w:styleId="Normal" w:default="true">
    <w:name w:val="Normal"/>
    <w:pPr>
      <w:spacing w:after="150" w:line="360" w:lineRule="auto"/>
      <w:ind w:firstLine="480"/>
      <w:jc w:val="both"/>
    </w:pPr>
    <w:rPr>
      <w:rFonts w:ascii="Aptos" w:hAnsi="Aptos" w:eastAsia="Microsoft YaHei"/>
      <w:color w:val="263238"/>
      <w:sz w:val="21"/>
    </w:rPr>
  </w:style>
  <w:style w:type="paragraph" w:styleId="Heading1">
    <w:name w:val="heading 1"/>
    <w:basedOn w:val="Normal"/>
    <w:pPr>
      <w:keepNext/>
      <w:keepLines/>
      <w:spacing w:before="620" w:after="260"/>
      <w:ind w:firstLine="0"/>
      <w:outlineLvl w:val="0"/>
    </w:pPr>
    <w:rPr>
      <w:rFonts w:ascii="Aptos Display" w:hAnsi="Aptos Display" w:eastAsia="Microsoft YaHei"/>
      <w:b/>
      <w:color w:val="263238"/>
      <w:sz w:val="34"/>
    </w:rPr>
  </w:style>
  <w:style w:type="paragraph" w:styleId="Heading2">
    <w:name w:val="heading 2"/>
    <w:basedOn w:val="Normal"/>
    <w:pPr>
      <w:keepNext/>
      <w:keepLines/>
      <w:spacing w:before="420" w:after="180"/>
      <w:ind w:firstLine="0"/>
      <w:outlineLvl w:val="1"/>
    </w:pPr>
    <w:rPr>
      <w:rFonts w:ascii="Aptos Display" w:hAnsi="Aptos Display" w:eastAsia="Microsoft YaHei"/>
      <w:b/>
      <w:color w:val="455A64"/>
      <w:sz w:val="27"/>
    </w:rPr>
  </w:style>
  <w:style w:type="paragraph" w:styleId="Heading3">
    <w:name w:val="heading 3"/>
    <w:basedOn w:val="Normal"/>
    <w:pPr>
      <w:keepNext/>
      <w:keepLines/>
      <w:spacing w:before="300" w:after="120"/>
      <w:ind w:firstLine="0"/>
      <w:outlineLvl w:val="2"/>
    </w:pPr>
    <w:rPr>
      <w:rFonts w:ascii="Aptos Display" w:hAnsi="Aptos Display" w:eastAsia="Microsoft YaHei"/>
      <w:b/>
      <w:color w:val="546E7A"/>
      <w:sz w:val="23"/>
    </w:rPr>
  </w:style>
  <w:style w:type="paragraph" w:styleId="Caption">
    <w:name w:val="Caption"/>
    <w:basedOn w:val="Normal"/>
    <w:pPr>
      <w:spacing w:before="60" w:after="320"/>
      <w:ind w:firstLine="0"/>
      <w:jc w:val="center"/>
    </w:pPr>
    <w:rPr>
      <w:rFonts w:ascii="Aptos" w:hAnsi="Aptos" w:eastAsia="Microsoft YaHei"/>
      <w:color w:val="78909C"/>
      <w:sz w:val="19"/>
    </w:rPr>
  </w:style>
  <w:style w:type="paragraph" w:styleId="Bullet">
    <w:name w:val="Bullet"/>
    <w:basedOn w:val="Normal"/>
    <w:pPr>
      <w:spacing w:after="120" w:line="340" w:lineRule="auto"/>
      <w:ind w:left="520" w:hanging="0" w:firstLine="0"/>
    </w:pPr>
    <w:rPr>
      <w:rFonts w:ascii="Aptos" w:hAnsi="Aptos" w:eastAsia="Microsoft YaHei"/>
      <w:color w:val="263238"/>
      <w:sz w:val="21"/>
    </w:rPr>
  </w:style>
  <w:style w:type="paragraph" w:styleId="Reference">
    <w:name w:val="Reference"/>
    <w:basedOn w:val="Normal"/>
    <w:pPr>
      <w:spacing w:after="100" w:line="300" w:lineRule="auto"/>
      <w:ind w:left="360" w:hanging="360" w:firstLine="0"/>
    </w:pPr>
    <w:rPr>
      <w:rFonts w:ascii="Aptos" w:hAnsi="Aptos" w:eastAsia="Microsoft YaHei"/>
      <w:color w:val="546E7A"/>
      <w:sz w:val="19"/>
    </w:rPr>
  </w:style>
  <w:style w:type="paragraph" w:styleId="TOC1">
    <w:name w:val="toc 1"/>
    <w:basedOn w:val="Normal"/>
    <w:pPr>
      <w:tabs>
        <w:tab w:val="right" w:leader="dot" w:pos="9350"/>
      </w:tabs>
      <w:spacing w:before="200" w:after="60"/>
      <w:ind w:left="0" w:firstLine="0"/>
    </w:pPr>
    <w:rPr>
      <w:rFonts w:ascii="Aptos" w:hAnsi="Aptos" w:eastAsia="Microsoft YaHei"/>
      <w:b/>
      <w:color w:val="263238"/>
    </w:rPr>
  </w:style>
  <w:style w:type="paragraph" w:styleId="TOC2">
    <w:name w:val="toc 2"/>
    <w:basedOn w:val="Normal"/>
    <w:pPr>
      <w:tabs>
        <w:tab w:val="right" w:leader="dot" w:pos="9350"/>
      </w:tabs>
      <w:spacing w:before="60" w:after="60"/>
      <w:ind w:left="360" w:firstLine="0"/>
    </w:pPr>
    <w:rPr>
      <w:rFonts w:ascii="Aptos" w:hAnsi="Aptos" w:eastAsia="Microsoft YaHei"/>
      <w:color w:val="546E7A"/>
    </w:rPr>
  </w:style>
  <w:style w:type="paragraph" w:styleId="TOC3">
    <w:name w:val="toc 3"/>
    <w:basedOn w:val="Normal"/>
    <w:pPr>
      <w:tabs>
        <w:tab w:val="right" w:leader="dot" w:pos="9350"/>
      </w:tabs>
      <w:spacing w:before="40" w:after="60"/>
      <w:ind w:left="720" w:firstLine="0"/>
    </w:pPr>
    <w:rPr>
      <w:rFonts w:ascii="Aptos" w:hAnsi="Aptos" w:eastAsia="Microsoft YaHei"/>
      <w:color w:val="546E7A"/>
    </w:rPr>
  </w:style>
</w:styles>
</file>

<file path=word/_rels/document.xml.rels><?xml version='1.0' encoding='UTF-8'?>
<Relationships xmlns="http://schemas.openxmlformats.org/package/2006/relationships"><Relationship Type="http://schemas.openxmlformats.org/officeDocument/2006/relationships/styles" Target="styles.xml" Id="Rc2962f8c3b214952" /><Relationship Type="http://schemas.openxmlformats.org/officeDocument/2006/relationships/image" Target="media/image.png" Id="R6b0e4003ac99401d" /><Relationship Type="http://schemas.openxmlformats.org/officeDocument/2006/relationships/image" Target="media/image2.png" Id="R9d6dcaa5c2184fe7" /><Relationship Type="http://schemas.openxmlformats.org/officeDocument/2006/relationships/header" Target="header1.xml" Id="R28f0dc70bf544aa5" /><Relationship Type="http://schemas.openxmlformats.org/officeDocument/2006/relationships/footer" Target="footer1.xml" Id="Rc7933a8c389a4153" /><Relationship Type="http://schemas.openxmlformats.org/officeDocument/2006/relationships/footnotes" Target="footnotes.xml" Id="R217da703547c49d4" /><Relationship Type="http://schemas.openxmlformats.org/officeDocument/2006/relationships/image" Target="media/image3.png" Id="R518bda465b634ca3" /><Relationship Type="http://schemas.openxmlformats.org/officeDocument/2006/relationships/header" Target="header2.xml" Id="R21846348886c430f" /><Relationship Type="http://schemas.openxmlformats.org/officeDocument/2006/relationships/footer" Target="footer2.xml" Id="R9563b9a466024eda" /><Relationship Type="http://schemas.openxmlformats.org/officeDocument/2006/relationships/settings" Target="settings.xml" Id="R2cf01596a16b4490" /></Relationships>
</file>